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jc w:val="center"/>
        <w:rPr>
          <w:rFonts w:ascii="黑体" w:hAnsi="黑体" w:eastAsia="黑体"/>
          <w:color w:val="auto"/>
          <w:sz w:val="28"/>
          <w:szCs w:val="28"/>
        </w:rPr>
      </w:pPr>
      <w:bookmarkStart w:id="21" w:name="_GoBack"/>
      <w:r>
        <w:rPr>
          <w:rFonts w:hint="eastAsia" w:ascii="黑体" w:hAnsi="黑体" w:eastAsia="黑体"/>
          <w:color w:val="auto"/>
          <w:sz w:val="28"/>
          <w:szCs w:val="28"/>
        </w:rPr>
        <w:t>2023年江苏省职业院校技能大赛中职赛项规程</w:t>
      </w:r>
    </w:p>
    <w:p>
      <w:pPr>
        <w:spacing w:beforeLines="50"/>
        <w:ind w:firstLine="0" w:firstLineChars="0"/>
        <w:rPr>
          <w:rFonts w:ascii="仿宋" w:hAnsi="仿宋" w:cs="仿宋"/>
          <w:b/>
          <w:color w:val="auto"/>
          <w:szCs w:val="24"/>
        </w:rPr>
      </w:pPr>
      <w:r>
        <w:rPr>
          <w:rFonts w:hint="eastAsia" w:ascii="仿宋" w:hAnsi="仿宋" w:cs="仿宋"/>
          <w:b/>
          <w:color w:val="auto"/>
          <w:szCs w:val="24"/>
        </w:rPr>
        <w:t>一、赛项名称</w:t>
      </w:r>
    </w:p>
    <w:p>
      <w:pPr>
        <w:ind w:firstLine="480"/>
        <w:rPr>
          <w:rFonts w:ascii="仿宋" w:hAnsi="仿宋" w:cs="仿宋"/>
          <w:color w:val="auto"/>
          <w:szCs w:val="24"/>
        </w:rPr>
      </w:pPr>
      <w:r>
        <w:rPr>
          <w:rFonts w:hint="eastAsia" w:ascii="仿宋" w:hAnsi="仿宋" w:cs="仿宋"/>
          <w:color w:val="auto"/>
          <w:szCs w:val="24"/>
        </w:rPr>
        <w:t>赛项编号：JSZ202305</w:t>
      </w:r>
    </w:p>
    <w:p>
      <w:pPr>
        <w:ind w:firstLine="480"/>
        <w:rPr>
          <w:rFonts w:ascii="仿宋" w:hAnsi="仿宋" w:cs="仿宋"/>
          <w:color w:val="auto"/>
          <w:szCs w:val="24"/>
        </w:rPr>
      </w:pPr>
      <w:r>
        <w:rPr>
          <w:rFonts w:hint="eastAsia" w:ascii="仿宋" w:hAnsi="仿宋" w:cs="仿宋"/>
          <w:color w:val="auto"/>
          <w:szCs w:val="24"/>
        </w:rPr>
        <w:t>赛项名称：建筑装饰技能</w:t>
      </w:r>
    </w:p>
    <w:p>
      <w:pPr>
        <w:ind w:firstLine="480"/>
        <w:rPr>
          <w:rFonts w:ascii="仿宋" w:hAnsi="仿宋" w:cs="仿宋"/>
          <w:color w:val="auto"/>
          <w:szCs w:val="24"/>
        </w:rPr>
      </w:pPr>
      <w:r>
        <w:rPr>
          <w:rFonts w:hint="eastAsia" w:ascii="仿宋" w:hAnsi="仿宋" w:cs="仿宋"/>
          <w:color w:val="auto"/>
          <w:szCs w:val="24"/>
        </w:rPr>
        <w:t>赛项组别：</w:t>
      </w:r>
      <w:r>
        <w:rPr>
          <w:rFonts w:hint="eastAsia" w:ascii="仿宋" w:hAnsi="仿宋" w:cs="仿宋"/>
          <w:color w:val="auto"/>
          <w:szCs w:val="24"/>
        </w:rPr>
        <w:t>学生组、教师组</w:t>
      </w:r>
    </w:p>
    <w:p>
      <w:pPr>
        <w:ind w:firstLine="480"/>
        <w:rPr>
          <w:rFonts w:ascii="仿宋" w:hAnsi="仿宋" w:cs="仿宋"/>
          <w:color w:val="auto"/>
          <w:szCs w:val="24"/>
        </w:rPr>
      </w:pPr>
      <w:r>
        <w:rPr>
          <w:rFonts w:hint="eastAsia" w:ascii="仿宋" w:hAnsi="仿宋" w:cs="仿宋"/>
          <w:color w:val="auto"/>
          <w:szCs w:val="24"/>
        </w:rPr>
        <w:t>赛项归属专业大类：土木水利类</w:t>
      </w:r>
    </w:p>
    <w:p>
      <w:pPr>
        <w:spacing w:beforeLines="50"/>
        <w:ind w:firstLine="0" w:firstLineChars="0"/>
        <w:rPr>
          <w:rFonts w:ascii="仿宋" w:hAnsi="仿宋" w:cs="仿宋"/>
          <w:b/>
          <w:color w:val="auto"/>
          <w:szCs w:val="24"/>
        </w:rPr>
      </w:pPr>
      <w:r>
        <w:rPr>
          <w:rFonts w:hint="eastAsia" w:ascii="仿宋" w:hAnsi="仿宋" w:cs="仿宋"/>
          <w:b/>
          <w:color w:val="auto"/>
          <w:szCs w:val="24"/>
        </w:rPr>
        <w:t>二、竞赛目的</w:t>
      </w:r>
    </w:p>
    <w:p>
      <w:pPr>
        <w:ind w:firstLine="481" w:firstLineChars="0"/>
        <w:rPr>
          <w:rFonts w:ascii="仿宋" w:hAnsi="仿宋" w:cs="仿宋"/>
          <w:bCs/>
          <w:color w:val="auto"/>
          <w:szCs w:val="24"/>
        </w:rPr>
      </w:pPr>
      <w:r>
        <w:rPr>
          <w:rFonts w:hint="eastAsia" w:ascii="仿宋" w:hAnsi="仿宋" w:cs="仿宋"/>
          <w:bCs/>
          <w:color w:val="auto"/>
          <w:szCs w:val="24"/>
        </w:rPr>
        <w:t>为</w:t>
      </w:r>
      <w:r>
        <w:rPr>
          <w:rFonts w:hint="eastAsia" w:ascii="仿宋" w:hAnsi="仿宋" w:cs="仿宋"/>
          <w:bCs/>
          <w:color w:val="auto"/>
          <w:szCs w:val="24"/>
        </w:rPr>
        <w:t>贯彻落实《国家职业教育改革实施方案》</w:t>
      </w:r>
      <w:r>
        <w:rPr>
          <w:rFonts w:hint="eastAsia" w:ascii="仿宋" w:hAnsi="仿宋" w:cs="仿宋"/>
          <w:bCs/>
          <w:color w:val="auto"/>
          <w:szCs w:val="24"/>
        </w:rPr>
        <w:t>、</w:t>
      </w:r>
      <w:r>
        <w:rPr>
          <w:rFonts w:hint="eastAsia" w:ascii="仿宋" w:hAnsi="仿宋" w:cs="仿宋"/>
          <w:bCs/>
          <w:color w:val="auto"/>
          <w:szCs w:val="24"/>
        </w:rPr>
        <w:t>《关于推动现代职业教育高质量发展的意见》、全国职业教育大会精神和国家新职业教育法，进一步强化职业院校本专业学生职业技能训练和职业能力的综合运用，促进校企合作、产教融合，完善“岗课赛证”教学模式，培育工匠精神，</w:t>
      </w:r>
      <w:r>
        <w:rPr>
          <w:rFonts w:hint="eastAsia" w:ascii="仿宋_GB2312" w:hAnsi="仿宋_GB2312" w:eastAsia="仿宋_GB2312" w:cs="仿宋_GB2312"/>
          <w:color w:val="auto"/>
          <w:szCs w:val="24"/>
        </w:rPr>
        <w:t>促进职业院校之间的交流，引导职业院校的专业建设与课程改革，</w:t>
      </w:r>
      <w:r>
        <w:rPr>
          <w:rFonts w:hint="eastAsia" w:ascii="仿宋" w:hAnsi="仿宋" w:cs="仿宋"/>
          <w:bCs/>
          <w:color w:val="auto"/>
          <w:szCs w:val="24"/>
        </w:rPr>
        <w:t>推动职业院校“双师型”师资队伍建设，大力培养适应我省经济与社会发展的高素质劳动者和技术技能型人才，为建设“强、富、美、高”新江苏和建成技能型社会提供人才和技能支撑。</w:t>
      </w:r>
    </w:p>
    <w:p>
      <w:pPr>
        <w:spacing w:beforeLines="50"/>
        <w:ind w:firstLine="0" w:firstLineChars="0"/>
        <w:rPr>
          <w:rFonts w:ascii="仿宋" w:hAnsi="仿宋" w:cs="仿宋"/>
          <w:b/>
          <w:color w:val="auto"/>
          <w:szCs w:val="24"/>
        </w:rPr>
      </w:pPr>
      <w:r>
        <w:rPr>
          <w:rFonts w:hint="eastAsia" w:ascii="仿宋" w:hAnsi="仿宋" w:cs="仿宋"/>
          <w:b/>
          <w:color w:val="auto"/>
          <w:szCs w:val="24"/>
        </w:rPr>
        <w:t>三、竞赛内容</w:t>
      </w:r>
    </w:p>
    <w:p>
      <w:pPr>
        <w:ind w:left="480" w:leftChars="200" w:firstLine="0" w:firstLineChars="0"/>
        <w:rPr>
          <w:rFonts w:ascii="仿宋" w:hAnsi="仿宋" w:cs="仿宋"/>
          <w:b/>
          <w:color w:val="auto"/>
          <w:szCs w:val="24"/>
        </w:rPr>
      </w:pPr>
      <w:r>
        <w:rPr>
          <w:rFonts w:hint="eastAsia" w:ascii="仿宋" w:hAnsi="仿宋" w:cs="仿宋"/>
          <w:b/>
          <w:color w:val="auto"/>
          <w:szCs w:val="24"/>
        </w:rPr>
        <w:t>（一）学生组竞赛内容</w:t>
      </w:r>
    </w:p>
    <w:p>
      <w:pPr>
        <w:ind w:firstLine="480"/>
        <w:rPr>
          <w:rFonts w:ascii="仿宋" w:hAnsi="仿宋" w:cs="仿宋"/>
          <w:bCs/>
          <w:color w:val="auto"/>
          <w:szCs w:val="24"/>
        </w:rPr>
      </w:pPr>
      <w:r>
        <w:rPr>
          <w:rFonts w:hint="eastAsia" w:ascii="仿宋" w:hAnsi="仿宋" w:cs="仿宋"/>
          <w:bCs/>
          <w:color w:val="auto"/>
          <w:szCs w:val="24"/>
        </w:rPr>
        <w:t>考核学生组选手的理论知识、实操技能和职业素养。其中：</w:t>
      </w:r>
    </w:p>
    <w:p>
      <w:pPr>
        <w:ind w:firstLine="480"/>
        <w:rPr>
          <w:rFonts w:ascii="仿宋" w:hAnsi="仿宋" w:cs="仿宋"/>
          <w:bCs/>
          <w:color w:val="auto"/>
          <w:szCs w:val="24"/>
        </w:rPr>
      </w:pPr>
      <w:r>
        <w:rPr>
          <w:rFonts w:hint="eastAsia" w:ascii="仿宋" w:hAnsi="仿宋" w:cs="仿宋"/>
          <w:bCs/>
          <w:color w:val="auto"/>
          <w:szCs w:val="24"/>
        </w:rPr>
        <w:t>1.理论知识</w:t>
      </w:r>
      <w:r>
        <w:rPr>
          <w:rFonts w:hint="eastAsia" w:ascii="仿宋" w:hAnsi="仿宋" w:cs="仿宋"/>
          <w:bCs/>
          <w:color w:val="auto"/>
          <w:szCs w:val="24"/>
        </w:rPr>
        <w:t>（10%）</w:t>
      </w:r>
      <w:r>
        <w:rPr>
          <w:rFonts w:hint="eastAsia" w:ascii="仿宋" w:hAnsi="仿宋" w:cs="仿宋"/>
          <w:bCs/>
          <w:color w:val="auto"/>
          <w:szCs w:val="24"/>
        </w:rPr>
        <w:t>，主要包含：</w:t>
      </w:r>
      <w:r>
        <w:rPr>
          <w:rFonts w:hint="eastAsia" w:ascii="仿宋" w:hAnsi="仿宋" w:cs="仿宋"/>
          <w:color w:val="auto"/>
        </w:rPr>
        <w:t>制图</w:t>
      </w:r>
      <w:r>
        <w:rPr>
          <w:rFonts w:hint="eastAsia" w:ascii="仿宋" w:hAnsi="仿宋" w:cs="仿宋"/>
          <w:color w:val="auto"/>
        </w:rPr>
        <w:t>的基本知识、建筑装饰设计基础知识、建筑装饰制图标准、建筑CAD、3DMAX基础知识、SketchUp基础知识、常用装饰材料基础知识、建筑装饰构造知识、装饰工作量计算知识、建筑装饰施工工艺流程和操作要点知识、装饰专用机具基础知识、施工安全操作规程知识、一般施工组织管理知识、劳动定额知识和质量管理基础知识、建筑装饰工程质量验收规范等。</w:t>
      </w:r>
    </w:p>
    <w:p>
      <w:pPr>
        <w:ind w:firstLine="480"/>
        <w:rPr>
          <w:rFonts w:ascii="仿宋" w:hAnsi="仿宋" w:cs="仿宋"/>
          <w:bCs/>
          <w:color w:val="auto"/>
          <w:szCs w:val="24"/>
        </w:rPr>
      </w:pPr>
      <w:r>
        <w:rPr>
          <w:rFonts w:hint="eastAsia" w:ascii="仿宋" w:hAnsi="仿宋" w:cs="仿宋"/>
          <w:bCs/>
          <w:color w:val="auto"/>
          <w:szCs w:val="24"/>
        </w:rPr>
        <w:t>2.实操技能</w:t>
      </w:r>
      <w:r>
        <w:rPr>
          <w:rFonts w:hint="eastAsia" w:ascii="仿宋" w:hAnsi="仿宋" w:cs="仿宋"/>
          <w:bCs/>
          <w:color w:val="auto"/>
          <w:szCs w:val="24"/>
        </w:rPr>
        <w:t>（85%）</w:t>
      </w:r>
      <w:r>
        <w:rPr>
          <w:rFonts w:hint="eastAsia" w:ascii="仿宋" w:hAnsi="仿宋" w:cs="仿宋"/>
          <w:bCs/>
          <w:color w:val="auto"/>
          <w:szCs w:val="24"/>
        </w:rPr>
        <w:t>，主要包含：</w:t>
      </w:r>
      <w:r>
        <w:rPr>
          <w:rFonts w:hint="eastAsia" w:ascii="仿宋" w:hAnsi="仿宋" w:cs="仿宋"/>
          <w:color w:val="auto"/>
        </w:rPr>
        <w:t>建筑装饰施工图设计（包括编制施工设计说明、平面图设计、立面图设计、瓷砖镶贴设计、轻钢龙骨隔墙设计、节点详图设计等）、材料测算（包括工程量计算、工程量分析、工程费用计算等）及建筑装饰施工技能操作（包括墙面瓷砖镶贴施工、轻钢龙骨隔墙施工、墙面抹灰施工）等。</w:t>
      </w:r>
    </w:p>
    <w:p>
      <w:pPr>
        <w:pStyle w:val="16"/>
        <w:spacing w:line="360" w:lineRule="auto"/>
        <w:ind w:firstLine="480" w:firstLineChars="200"/>
        <w:jc w:val="both"/>
        <w:rPr>
          <w:rFonts w:ascii="仿宋" w:hAnsi="仿宋" w:eastAsia="仿宋" w:cs="仿宋"/>
          <w:color w:val="auto"/>
        </w:rPr>
      </w:pPr>
      <w:r>
        <w:rPr>
          <w:rFonts w:hint="eastAsia" w:ascii="仿宋" w:hAnsi="仿宋" w:eastAsia="仿宋" w:cs="仿宋"/>
          <w:color w:val="auto"/>
        </w:rPr>
        <w:t>（1）建筑装饰施工图设计</w:t>
      </w:r>
    </w:p>
    <w:p>
      <w:pPr>
        <w:ind w:firstLine="480"/>
        <w:rPr>
          <w:rFonts w:ascii="仿宋" w:hAnsi="仿宋" w:cs="仿宋"/>
          <w:bCs/>
          <w:color w:val="auto"/>
          <w:szCs w:val="24"/>
        </w:rPr>
      </w:pPr>
      <w:r>
        <w:rPr>
          <w:rFonts w:hint="eastAsia" w:ascii="仿宋" w:hAnsi="仿宋" w:cs="仿宋"/>
          <w:color w:val="auto"/>
        </w:rPr>
        <w:t>竞赛时间：</w:t>
      </w:r>
      <w:r>
        <w:rPr>
          <w:rFonts w:hint="eastAsia" w:ascii="仿宋" w:hAnsi="仿宋" w:cs="仿宋"/>
          <w:b/>
          <w:bCs/>
          <w:color w:val="auto"/>
        </w:rPr>
        <w:t>4小时</w:t>
      </w:r>
      <w:r>
        <w:rPr>
          <w:rFonts w:hint="eastAsia" w:ascii="仿宋" w:hAnsi="仿宋" w:cs="仿宋"/>
          <w:color w:val="auto"/>
        </w:rPr>
        <w:t>。由墙面瓷砖镶贴设计、轻钢龙骨纸面石膏板隔墙设计两个任务组成；参赛选手根据竞赛任务书，按照国家制图标准和相关要求，使用大赛现场提供的计算机辅助设计软件合作完成指定建筑装饰施工图的设计任务。考核建筑装饰施工图的设计、制图、表达能力以及计算机绘图技能。</w:t>
      </w:r>
    </w:p>
    <w:p>
      <w:pPr>
        <w:pStyle w:val="16"/>
        <w:spacing w:line="360" w:lineRule="auto"/>
        <w:ind w:firstLine="480" w:firstLineChars="200"/>
        <w:jc w:val="both"/>
        <w:rPr>
          <w:rFonts w:ascii="仿宋" w:hAnsi="仿宋" w:eastAsia="仿宋" w:cs="仿宋"/>
          <w:color w:val="auto"/>
          <w:kern w:val="2"/>
        </w:rPr>
      </w:pPr>
      <w:r>
        <w:rPr>
          <w:rFonts w:hint="eastAsia" w:ascii="仿宋" w:hAnsi="仿宋" w:eastAsia="仿宋" w:cs="仿宋"/>
          <w:color w:val="auto"/>
          <w:kern w:val="2"/>
        </w:rPr>
        <w:t>（2）材料测算环节</w:t>
      </w:r>
    </w:p>
    <w:p>
      <w:pPr>
        <w:pStyle w:val="16"/>
        <w:spacing w:line="360" w:lineRule="auto"/>
        <w:ind w:firstLine="480" w:firstLineChars="200"/>
        <w:jc w:val="both"/>
        <w:rPr>
          <w:rFonts w:ascii="仿宋" w:hAnsi="仿宋" w:eastAsia="仿宋" w:cs="仿宋"/>
          <w:color w:val="auto"/>
          <w:kern w:val="2"/>
        </w:rPr>
      </w:pPr>
      <w:r>
        <w:rPr>
          <w:rFonts w:hint="eastAsia" w:ascii="仿宋" w:hAnsi="仿宋" w:eastAsia="仿宋" w:cs="仿宋"/>
          <w:color w:val="auto"/>
          <w:kern w:val="2"/>
        </w:rPr>
        <w:t>竞赛时间：</w:t>
      </w:r>
      <w:r>
        <w:rPr>
          <w:rFonts w:hint="eastAsia" w:ascii="仿宋" w:hAnsi="仿宋" w:eastAsia="仿宋" w:cs="仿宋"/>
          <w:b/>
          <w:bCs/>
          <w:color w:val="auto"/>
          <w:kern w:val="2"/>
        </w:rPr>
        <w:t>1小时</w:t>
      </w:r>
      <w:r>
        <w:rPr>
          <w:rFonts w:hint="eastAsia" w:ascii="仿宋" w:hAnsi="仿宋" w:eastAsia="仿宋" w:cs="仿宋"/>
          <w:color w:val="auto"/>
          <w:kern w:val="2"/>
        </w:rPr>
        <w:t>。各参赛队设计成果文件整理后，</w:t>
      </w:r>
    </w:p>
    <w:p>
      <w:pPr>
        <w:pStyle w:val="16"/>
        <w:spacing w:line="360" w:lineRule="auto"/>
        <w:ind w:firstLine="480" w:firstLineChars="200"/>
        <w:jc w:val="both"/>
        <w:rPr>
          <w:rFonts w:ascii="仿宋" w:hAnsi="仿宋" w:eastAsia="仿宋" w:cs="仿宋"/>
          <w:color w:val="auto"/>
          <w:kern w:val="2"/>
        </w:rPr>
      </w:pPr>
      <w:r>
        <w:rPr>
          <w:rFonts w:hint="eastAsia" w:ascii="仿宋" w:hAnsi="仿宋" w:eastAsia="仿宋" w:cs="仿宋"/>
          <w:color w:val="auto"/>
          <w:kern w:val="2"/>
        </w:rPr>
        <w:t>由参赛选手合作完成规定任务，参赛选手根据给定竞赛任务书，按照参赛队各自确定的材料消耗标准或相关定额等方案，使用指定办公软件完成建筑装饰作品的材料测算任务。考核工程量分析、工程量计算及工程费用计算的能力。</w:t>
      </w:r>
    </w:p>
    <w:p>
      <w:pPr>
        <w:pStyle w:val="16"/>
        <w:spacing w:line="360" w:lineRule="auto"/>
        <w:ind w:firstLine="480" w:firstLineChars="200"/>
        <w:jc w:val="both"/>
        <w:rPr>
          <w:rFonts w:ascii="仿宋" w:hAnsi="仿宋" w:eastAsia="仿宋" w:cs="仿宋"/>
          <w:color w:val="auto"/>
          <w:kern w:val="2"/>
        </w:rPr>
      </w:pPr>
      <w:r>
        <w:rPr>
          <w:rFonts w:hint="eastAsia" w:ascii="仿宋" w:hAnsi="仿宋" w:eastAsia="仿宋" w:cs="仿宋"/>
          <w:color w:val="auto"/>
          <w:kern w:val="2"/>
        </w:rPr>
        <w:t>（3）施工技能操作环节</w:t>
      </w:r>
    </w:p>
    <w:p>
      <w:pPr>
        <w:ind w:firstLine="480"/>
        <w:rPr>
          <w:rFonts w:ascii="仿宋" w:hAnsi="仿宋" w:cs="仿宋"/>
          <w:bCs/>
          <w:color w:val="auto"/>
          <w:szCs w:val="24"/>
        </w:rPr>
      </w:pPr>
      <w:r>
        <w:rPr>
          <w:rFonts w:hint="eastAsia" w:ascii="仿宋" w:hAnsi="仿宋" w:cs="仿宋"/>
          <w:color w:val="auto"/>
        </w:rPr>
        <w:t>竞赛时间：</w:t>
      </w:r>
      <w:r>
        <w:rPr>
          <w:rFonts w:hint="eastAsia" w:ascii="仿宋" w:hAnsi="仿宋" w:cs="仿宋"/>
          <w:b/>
          <w:bCs/>
          <w:color w:val="auto"/>
        </w:rPr>
        <w:t>6小时</w:t>
      </w:r>
      <w:r>
        <w:rPr>
          <w:rFonts w:hint="eastAsia" w:ascii="仿宋" w:hAnsi="仿宋" w:cs="仿宋"/>
          <w:color w:val="auto"/>
        </w:rPr>
        <w:t>。各代表队参赛选手根据各自的设计图纸及测算工料，共同完成规定任务。2名参赛选手团队协作，按照施工工艺要求及施工质量验收的基本规定，使用轻型装饰施工机具，完成房屋室内墙面瓷砖镶贴、墙面抹灰和轻钢龙骨纸面石膏板隔墙、装饰木线条等实际操作任务。考核项目施工的实际操作技能、安全文明生产、测量放线、工机具使用及施工质量、水平等。</w:t>
      </w:r>
    </w:p>
    <w:p>
      <w:pPr>
        <w:ind w:firstLine="480"/>
        <w:rPr>
          <w:rFonts w:ascii="仿宋" w:hAnsi="仿宋" w:cs="仿宋"/>
          <w:b/>
          <w:color w:val="auto"/>
          <w:szCs w:val="24"/>
        </w:rPr>
      </w:pPr>
      <w:r>
        <w:rPr>
          <w:rFonts w:hint="eastAsia" w:ascii="仿宋" w:hAnsi="仿宋" w:cs="仿宋"/>
          <w:bCs/>
          <w:color w:val="auto"/>
          <w:szCs w:val="24"/>
        </w:rPr>
        <w:t>3.职业素养（5%）。主要内容包含：职业道德、职业意识、职业作风、职业态度；基础知识、规范的理解与应用、质量控制、安全风险管控、卫生清理、</w:t>
      </w:r>
      <w:r>
        <w:rPr>
          <w:rFonts w:hint="eastAsia" w:ascii="仿宋" w:hAnsi="仿宋" w:cs="仿宋"/>
          <w:b/>
          <w:color w:val="auto"/>
          <w:szCs w:val="24"/>
        </w:rPr>
        <w:t>应变能力</w:t>
      </w:r>
      <w:r>
        <w:rPr>
          <w:rFonts w:hint="eastAsia" w:ascii="仿宋" w:hAnsi="仿宋" w:cs="仿宋"/>
          <w:bCs/>
          <w:color w:val="auto"/>
          <w:szCs w:val="24"/>
        </w:rPr>
        <w:t>、团队合作等。</w:t>
      </w:r>
    </w:p>
    <w:p>
      <w:pPr>
        <w:ind w:left="480" w:leftChars="200" w:firstLine="0" w:firstLineChars="0"/>
        <w:rPr>
          <w:rFonts w:ascii="仿宋" w:hAnsi="仿宋" w:cs="仿宋"/>
          <w:b/>
          <w:color w:val="auto"/>
          <w:szCs w:val="24"/>
        </w:rPr>
      </w:pPr>
      <w:r>
        <w:rPr>
          <w:rFonts w:hint="eastAsia" w:ascii="仿宋" w:hAnsi="仿宋" w:cs="仿宋"/>
          <w:b/>
          <w:color w:val="auto"/>
          <w:szCs w:val="24"/>
        </w:rPr>
        <w:t>（二）教师组竞赛内容</w:t>
      </w:r>
    </w:p>
    <w:p>
      <w:pPr>
        <w:ind w:left="480" w:leftChars="200" w:firstLine="0" w:firstLineChars="0"/>
        <w:rPr>
          <w:rFonts w:ascii="仿宋" w:hAnsi="仿宋" w:cs="仿宋"/>
          <w:bCs/>
          <w:color w:val="auto"/>
          <w:szCs w:val="24"/>
        </w:rPr>
      </w:pPr>
      <w:r>
        <w:rPr>
          <w:rFonts w:hint="eastAsia" w:ascii="仿宋" w:hAnsi="仿宋" w:cs="仿宋"/>
          <w:bCs/>
          <w:color w:val="auto"/>
          <w:szCs w:val="24"/>
        </w:rPr>
        <w:t>考核教师组选手理的论知识、实操技能和职业素养。其中：</w:t>
      </w:r>
    </w:p>
    <w:p>
      <w:pPr>
        <w:ind w:firstLine="480"/>
        <w:rPr>
          <w:rFonts w:ascii="仿宋" w:hAnsi="仿宋" w:cs="仿宋"/>
          <w:bCs/>
          <w:color w:val="auto"/>
          <w:szCs w:val="24"/>
        </w:rPr>
      </w:pPr>
      <w:r>
        <w:rPr>
          <w:rFonts w:hint="eastAsia" w:ascii="仿宋" w:hAnsi="仿宋" w:cs="仿宋"/>
          <w:bCs/>
          <w:color w:val="auto"/>
          <w:szCs w:val="24"/>
        </w:rPr>
        <w:t>1.理论知识考核占比</w:t>
      </w:r>
      <w:r>
        <w:rPr>
          <w:rFonts w:hint="eastAsia" w:ascii="仿宋" w:hAnsi="仿宋" w:cs="仿宋"/>
          <w:b/>
          <w:bCs w:val="0"/>
          <w:color w:val="auto"/>
          <w:szCs w:val="24"/>
        </w:rPr>
        <w:t>10%</w:t>
      </w:r>
      <w:r>
        <w:rPr>
          <w:rFonts w:hint="eastAsia" w:ascii="仿宋" w:hAnsi="仿宋" w:cs="仿宋"/>
          <w:bCs/>
          <w:color w:val="auto"/>
          <w:szCs w:val="24"/>
        </w:rPr>
        <w:t>，考核内容主要包含：</w:t>
      </w:r>
      <w:r>
        <w:rPr>
          <w:rFonts w:hint="eastAsia" w:ascii="仿宋" w:hAnsi="仿宋" w:cs="仿宋"/>
          <w:bCs/>
          <w:color w:val="auto"/>
          <w:szCs w:val="24"/>
          <w:lang w:val="en-US" w:eastAsia="zh-CN"/>
        </w:rPr>
        <w:t>制图</w:t>
      </w:r>
      <w:r>
        <w:rPr>
          <w:rFonts w:hint="eastAsia" w:ascii="仿宋" w:hAnsi="仿宋" w:cs="仿宋"/>
          <w:color w:val="auto"/>
        </w:rPr>
        <w:t>的基本知识、建筑装饰设计基础知识、建筑装饰制图标准、建筑CAD、3DMAX基础知识、SketchUp基础知识、常用装饰材料基础知识、建筑装饰构造知识、装饰工作量计算知识、建筑装饰施工工艺流程和操作要点知识、装饰专用机具基础知识、施工安全操作规程知识、一般施工组织管理知识、劳动定额知识和质量管理基础知识、建筑装饰工程质量验收规范等。</w:t>
      </w:r>
    </w:p>
    <w:p>
      <w:pPr>
        <w:ind w:firstLine="480"/>
        <w:rPr>
          <w:rFonts w:ascii="仿宋" w:hAnsi="仿宋" w:cs="仿宋"/>
          <w:bCs/>
          <w:color w:val="auto"/>
          <w:szCs w:val="24"/>
        </w:rPr>
      </w:pPr>
      <w:r>
        <w:rPr>
          <w:rFonts w:hint="eastAsia" w:ascii="仿宋" w:hAnsi="仿宋" w:cs="仿宋"/>
          <w:bCs/>
          <w:color w:val="auto"/>
          <w:szCs w:val="24"/>
        </w:rPr>
        <w:t>2.实操技能考核占比</w:t>
      </w:r>
      <w:r>
        <w:rPr>
          <w:rFonts w:hint="eastAsia" w:ascii="仿宋" w:hAnsi="仿宋" w:cs="仿宋"/>
          <w:b/>
          <w:bCs w:val="0"/>
          <w:color w:val="auto"/>
          <w:szCs w:val="24"/>
        </w:rPr>
        <w:t>85%</w:t>
      </w:r>
      <w:r>
        <w:rPr>
          <w:rFonts w:hint="eastAsia" w:ascii="仿宋" w:hAnsi="仿宋" w:cs="仿宋"/>
          <w:bCs/>
          <w:color w:val="auto"/>
          <w:szCs w:val="24"/>
        </w:rPr>
        <w:t>，考核内容主要包含：</w:t>
      </w:r>
      <w:r>
        <w:rPr>
          <w:rFonts w:hint="eastAsia" w:ascii="仿宋" w:hAnsi="仿宋" w:cs="仿宋"/>
          <w:color w:val="auto"/>
        </w:rPr>
        <w:t>建筑装饰施工图设计、材料测算及建筑装饰施工技能操作等。</w:t>
      </w:r>
    </w:p>
    <w:p>
      <w:pPr>
        <w:pStyle w:val="16"/>
        <w:spacing w:line="360" w:lineRule="auto"/>
        <w:ind w:firstLine="480" w:firstLineChars="200"/>
        <w:jc w:val="both"/>
        <w:rPr>
          <w:rFonts w:ascii="仿宋" w:hAnsi="仿宋" w:eastAsia="仿宋" w:cs="仿宋"/>
          <w:color w:val="auto"/>
        </w:rPr>
      </w:pPr>
      <w:r>
        <w:rPr>
          <w:rFonts w:hint="eastAsia" w:ascii="仿宋" w:hAnsi="仿宋" w:eastAsia="仿宋" w:cs="仿宋"/>
          <w:color w:val="auto"/>
        </w:rPr>
        <w:t>（1）建筑装饰施工图设计</w:t>
      </w:r>
    </w:p>
    <w:p>
      <w:pPr>
        <w:ind w:firstLine="480"/>
        <w:rPr>
          <w:rFonts w:ascii="仿宋" w:hAnsi="仿宋" w:cs="仿宋"/>
          <w:bCs/>
          <w:color w:val="auto"/>
          <w:szCs w:val="24"/>
        </w:rPr>
      </w:pPr>
      <w:r>
        <w:rPr>
          <w:rFonts w:hint="eastAsia" w:ascii="仿宋" w:hAnsi="仿宋" w:cs="仿宋"/>
          <w:color w:val="auto"/>
        </w:rPr>
        <w:t>建筑装饰施工图设计竞赛环节：竞赛时长</w:t>
      </w:r>
      <w:r>
        <w:rPr>
          <w:rFonts w:hint="eastAsia" w:ascii="仿宋" w:hAnsi="仿宋" w:cs="仿宋"/>
          <w:b/>
          <w:bCs/>
          <w:color w:val="auto"/>
        </w:rPr>
        <w:t>4小时</w:t>
      </w:r>
      <w:r>
        <w:rPr>
          <w:rFonts w:hint="eastAsia" w:ascii="仿宋" w:hAnsi="仿宋" w:cs="仿宋"/>
          <w:color w:val="auto"/>
        </w:rPr>
        <w:t>，分为墙面瓷砖镶贴设计和轻钢龙骨纸面石膏板隔墙设计两个任务，由参赛选手合作完成相应的规定任务，参赛选手根据给定竞赛任务书，按照国家制图标准和相关要求，使用大赛现场提供的计算机辅助设计软件完成指定建筑装饰施工图的设计任务，主要考核建筑装饰施工图的设计、制图、表达能力以及计算机绘图技能。</w:t>
      </w:r>
    </w:p>
    <w:p>
      <w:pPr>
        <w:pStyle w:val="16"/>
        <w:spacing w:line="360" w:lineRule="auto"/>
        <w:ind w:firstLine="480" w:firstLineChars="200"/>
        <w:jc w:val="both"/>
        <w:rPr>
          <w:rFonts w:ascii="仿宋" w:hAnsi="仿宋" w:eastAsia="仿宋" w:cs="仿宋"/>
          <w:color w:val="auto"/>
          <w:kern w:val="2"/>
        </w:rPr>
      </w:pPr>
      <w:r>
        <w:rPr>
          <w:rFonts w:hint="eastAsia" w:ascii="仿宋" w:hAnsi="仿宋" w:eastAsia="仿宋" w:cs="仿宋"/>
          <w:color w:val="auto"/>
          <w:kern w:val="2"/>
        </w:rPr>
        <w:t>（2）材料测算环节</w:t>
      </w:r>
    </w:p>
    <w:p>
      <w:pPr>
        <w:pStyle w:val="16"/>
        <w:spacing w:line="360" w:lineRule="auto"/>
        <w:ind w:firstLine="480" w:firstLineChars="200"/>
        <w:jc w:val="both"/>
        <w:rPr>
          <w:rFonts w:ascii="仿宋" w:hAnsi="仿宋" w:eastAsia="仿宋" w:cs="仿宋"/>
          <w:color w:val="auto"/>
          <w:kern w:val="2"/>
        </w:rPr>
      </w:pPr>
      <w:r>
        <w:rPr>
          <w:rFonts w:hint="eastAsia" w:ascii="仿宋" w:hAnsi="仿宋" w:eastAsia="仿宋" w:cs="仿宋"/>
          <w:color w:val="auto"/>
          <w:kern w:val="2"/>
        </w:rPr>
        <w:t>建筑装饰施工材料测算环节：竞赛时长</w:t>
      </w:r>
      <w:r>
        <w:rPr>
          <w:rFonts w:hint="eastAsia" w:ascii="仿宋" w:hAnsi="仿宋" w:eastAsia="仿宋" w:cs="仿宋"/>
          <w:b/>
          <w:bCs/>
          <w:color w:val="auto"/>
          <w:kern w:val="2"/>
        </w:rPr>
        <w:t>1小时</w:t>
      </w:r>
      <w:r>
        <w:rPr>
          <w:rFonts w:hint="eastAsia" w:ascii="仿宋" w:hAnsi="仿宋" w:eastAsia="仿宋" w:cs="仿宋"/>
          <w:color w:val="auto"/>
          <w:kern w:val="2"/>
        </w:rPr>
        <w:t>，在各参赛队设计成果文件整理后，由参赛选手合作完成规定任务，参赛选手根据给定竞赛任务书，按照各参赛队方案材料消耗标准或相关定额等要求，使用指定办公软件完成建筑装饰作品的材料测算任务，主要考核工程量分析、工程量计算及工程费用计算的能力。</w:t>
      </w:r>
    </w:p>
    <w:p>
      <w:pPr>
        <w:pStyle w:val="16"/>
        <w:spacing w:line="360" w:lineRule="auto"/>
        <w:ind w:firstLine="480" w:firstLineChars="200"/>
        <w:jc w:val="both"/>
        <w:rPr>
          <w:rFonts w:ascii="仿宋" w:hAnsi="仿宋" w:eastAsia="仿宋" w:cs="仿宋"/>
          <w:color w:val="auto"/>
          <w:kern w:val="2"/>
        </w:rPr>
      </w:pPr>
      <w:r>
        <w:rPr>
          <w:rFonts w:hint="eastAsia" w:ascii="仿宋" w:hAnsi="仿宋" w:eastAsia="仿宋" w:cs="仿宋"/>
          <w:color w:val="auto"/>
          <w:kern w:val="2"/>
        </w:rPr>
        <w:t>（3）建筑装饰施工技能操作环节</w:t>
      </w:r>
    </w:p>
    <w:p>
      <w:pPr>
        <w:ind w:firstLine="480"/>
        <w:rPr>
          <w:rFonts w:ascii="仿宋" w:hAnsi="仿宋" w:cs="仿宋"/>
          <w:bCs/>
          <w:color w:val="auto"/>
          <w:szCs w:val="24"/>
        </w:rPr>
      </w:pPr>
      <w:r>
        <w:rPr>
          <w:rFonts w:hint="eastAsia" w:ascii="仿宋" w:hAnsi="仿宋" w:cs="仿宋"/>
          <w:color w:val="auto"/>
        </w:rPr>
        <w:t>建筑装饰施工技能操作环节：竞赛时长</w:t>
      </w:r>
      <w:r>
        <w:rPr>
          <w:rFonts w:hint="eastAsia" w:ascii="仿宋" w:hAnsi="仿宋" w:cs="仿宋"/>
          <w:b/>
          <w:bCs/>
          <w:color w:val="auto"/>
        </w:rPr>
        <w:t>5小时</w:t>
      </w:r>
      <w:r>
        <w:rPr>
          <w:rFonts w:hint="eastAsia" w:ascii="仿宋" w:hAnsi="仿宋" w:cs="仿宋"/>
          <w:color w:val="auto"/>
        </w:rPr>
        <w:t>，由各代表队参赛选手根据各自的设计图纸及测算工料，共同完成规定任务，参赛选手按照建筑装饰施工工艺要求及装饰施工质量验收基本规定，借助轻型装饰施工机具，团队协作完成房屋室内墙面瓷砖镶贴、墙面抹灰和轻钢龙骨纸面石膏板隔墙、装饰木线条等实际操作任务，由2名教师参赛选手组成的代表队共同完成规定任务。主要考核相应施工项目的实际操作技能、安全生产、测量放线、工机具使用和成品质量水平等。</w:t>
      </w:r>
    </w:p>
    <w:p>
      <w:pPr>
        <w:ind w:firstLine="480"/>
        <w:rPr>
          <w:rFonts w:ascii="仿宋" w:hAnsi="仿宋" w:cs="仿宋"/>
          <w:b/>
          <w:color w:val="auto"/>
          <w:szCs w:val="24"/>
        </w:rPr>
      </w:pPr>
      <w:r>
        <w:rPr>
          <w:rFonts w:hint="eastAsia" w:ascii="仿宋" w:hAnsi="仿宋" w:cs="仿宋"/>
          <w:bCs/>
          <w:color w:val="auto"/>
          <w:szCs w:val="24"/>
        </w:rPr>
        <w:t>3.职业素养考核占比</w:t>
      </w:r>
      <w:r>
        <w:rPr>
          <w:rFonts w:hint="eastAsia" w:ascii="仿宋" w:hAnsi="仿宋" w:cs="仿宋"/>
          <w:b/>
          <w:bCs w:val="0"/>
          <w:color w:val="auto"/>
          <w:szCs w:val="24"/>
        </w:rPr>
        <w:t>5%</w:t>
      </w:r>
      <w:r>
        <w:rPr>
          <w:rFonts w:hint="eastAsia" w:ascii="仿宋" w:hAnsi="仿宋" w:cs="仿宋"/>
          <w:bCs/>
          <w:color w:val="auto"/>
          <w:szCs w:val="24"/>
        </w:rPr>
        <w:t>，考核内容主要包含：职业道德基础知识、职业意识、职业作风、职业态度、规范理解与应用、质量控制、安全风险管控、卫生清理、应变能力、</w:t>
      </w:r>
      <w:r>
        <w:rPr>
          <w:rFonts w:hint="eastAsia" w:ascii="仿宋" w:hAnsi="仿宋" w:cs="仿宋"/>
          <w:b/>
          <w:color w:val="auto"/>
          <w:szCs w:val="24"/>
        </w:rPr>
        <w:t>技能人才培养规律、指导能力、指导方法</w:t>
      </w:r>
      <w:r>
        <w:rPr>
          <w:rFonts w:hint="eastAsia" w:ascii="仿宋" w:hAnsi="仿宋" w:cs="仿宋"/>
          <w:bCs/>
          <w:color w:val="auto"/>
          <w:szCs w:val="24"/>
        </w:rPr>
        <w:t>、</w:t>
      </w:r>
      <w:r>
        <w:rPr>
          <w:rFonts w:hint="eastAsia" w:ascii="仿宋" w:hAnsi="仿宋" w:cs="仿宋"/>
          <w:bCs/>
          <w:color w:val="auto"/>
          <w:szCs w:val="24"/>
        </w:rPr>
        <w:t>团队合作等。</w:t>
      </w:r>
    </w:p>
    <w:p>
      <w:pPr>
        <w:spacing w:beforeLines="50"/>
        <w:ind w:firstLine="0" w:firstLineChars="0"/>
        <w:rPr>
          <w:rFonts w:ascii="仿宋" w:hAnsi="仿宋" w:cs="仿宋"/>
          <w:b/>
          <w:color w:val="auto"/>
          <w:szCs w:val="24"/>
        </w:rPr>
      </w:pPr>
      <w:r>
        <w:rPr>
          <w:rFonts w:hint="eastAsia" w:ascii="仿宋" w:hAnsi="仿宋" w:cs="仿宋"/>
          <w:b/>
          <w:color w:val="auto"/>
          <w:szCs w:val="24"/>
        </w:rPr>
        <w:t>四、竞赛方式</w:t>
      </w:r>
    </w:p>
    <w:p>
      <w:pPr>
        <w:ind w:firstLine="480"/>
        <w:rPr>
          <w:rFonts w:ascii="仿宋" w:hAnsi="仿宋" w:cs="仿宋"/>
          <w:bCs/>
          <w:color w:val="auto"/>
          <w:szCs w:val="24"/>
        </w:rPr>
      </w:pPr>
      <w:r>
        <w:rPr>
          <w:rFonts w:hint="eastAsia" w:ascii="仿宋" w:hAnsi="仿宋" w:cs="仿宋"/>
          <w:bCs/>
          <w:color w:val="auto"/>
          <w:szCs w:val="24"/>
        </w:rPr>
        <w:t>1.本赛项为团体赛。</w:t>
      </w:r>
    </w:p>
    <w:p>
      <w:pPr>
        <w:ind w:firstLine="480"/>
        <w:rPr>
          <w:rFonts w:ascii="仿宋" w:hAnsi="仿宋" w:cs="仿宋"/>
          <w:bCs/>
          <w:color w:val="auto"/>
          <w:szCs w:val="24"/>
        </w:rPr>
      </w:pPr>
      <w:r>
        <w:rPr>
          <w:rFonts w:hint="eastAsia" w:ascii="仿宋" w:hAnsi="仿宋" w:cs="仿宋"/>
          <w:bCs/>
          <w:color w:val="auto"/>
          <w:szCs w:val="24"/>
        </w:rPr>
        <w:t>2.学生组团体赛参赛要求：每队2名选手，不得跨校组队，每市（设区地级市）代表队不超过2个。详见“</w:t>
      </w:r>
      <w:r>
        <w:rPr>
          <w:rFonts w:hint="eastAsia" w:ascii="仿宋_GB2312" w:hAnsi="仿宋_GB2312" w:eastAsia="仿宋_GB2312" w:cs="仿宋_GB2312"/>
          <w:color w:val="auto"/>
          <w:szCs w:val="24"/>
        </w:rPr>
        <w:t>七、竞赛规则（一）选手报名”。</w:t>
      </w:r>
    </w:p>
    <w:p>
      <w:pPr>
        <w:ind w:firstLine="480"/>
        <w:rPr>
          <w:rFonts w:ascii="仿宋" w:hAnsi="仿宋" w:cs="仿宋"/>
          <w:bCs/>
          <w:color w:val="auto"/>
          <w:szCs w:val="24"/>
        </w:rPr>
      </w:pPr>
      <w:r>
        <w:rPr>
          <w:rFonts w:hint="eastAsia" w:ascii="仿宋" w:hAnsi="仿宋" w:cs="仿宋"/>
          <w:bCs/>
          <w:color w:val="auto"/>
          <w:szCs w:val="24"/>
        </w:rPr>
        <w:t>3.教师组团体赛参赛要求：每队2名选手，不得跨校组队，每市（设区地级市）代表队不超过2个。详见“七、竞赛规则（一）选手报名”。</w:t>
      </w:r>
    </w:p>
    <w:p>
      <w:pPr>
        <w:ind w:firstLine="480"/>
        <w:rPr>
          <w:rFonts w:ascii="仿宋" w:hAnsi="仿宋" w:cs="仿宋"/>
          <w:bCs/>
          <w:color w:val="auto"/>
          <w:szCs w:val="24"/>
        </w:rPr>
      </w:pPr>
      <w:r>
        <w:rPr>
          <w:rFonts w:hint="eastAsia" w:ascii="仿宋" w:hAnsi="仿宋" w:cs="仿宋"/>
          <w:bCs/>
          <w:color w:val="auto"/>
          <w:szCs w:val="24"/>
        </w:rPr>
        <w:t>4.理论知识竞赛以计算机网络答题形式，现场计算机给出成绩；计算机施工图设计环节竞赛采用中望CAD软件根据设计任务书完成规定内容；材料测算环节竞赛是采用office办公软件，根据任务书和选手自行设计的图纸完成指定的计算任务；技能操作环节竞赛是根据选手自行设计的图纸，在操作区域内完成任务书要求内容的施工操作。</w:t>
      </w:r>
    </w:p>
    <w:p>
      <w:pPr>
        <w:spacing w:beforeLines="50"/>
        <w:ind w:firstLine="0" w:firstLineChars="0"/>
        <w:rPr>
          <w:rFonts w:ascii="仿宋" w:hAnsi="仿宋" w:cs="仿宋"/>
          <w:b/>
          <w:color w:val="auto"/>
          <w:szCs w:val="24"/>
        </w:rPr>
      </w:pPr>
      <w:r>
        <w:rPr>
          <w:rFonts w:hint="eastAsia" w:ascii="仿宋" w:hAnsi="仿宋" w:cs="仿宋"/>
          <w:b/>
          <w:color w:val="auto"/>
          <w:szCs w:val="24"/>
        </w:rPr>
        <w:t>五、竞赛流程</w:t>
      </w:r>
    </w:p>
    <w:p>
      <w:pPr>
        <w:ind w:firstLine="480"/>
        <w:rPr>
          <w:rFonts w:ascii="仿宋" w:hAnsi="仿宋" w:cs="仿宋"/>
          <w:color w:val="auto"/>
          <w:szCs w:val="24"/>
        </w:rPr>
      </w:pPr>
      <w:r>
        <w:rPr>
          <w:rFonts w:hint="eastAsia" w:ascii="仿宋" w:hAnsi="仿宋" w:cs="仿宋"/>
          <w:color w:val="auto"/>
          <w:szCs w:val="24"/>
        </w:rPr>
        <w:t>（一）学生组竞赛流程</w:t>
      </w:r>
    </w:p>
    <w:p>
      <w:pPr>
        <w:ind w:firstLine="480"/>
        <w:rPr>
          <w:rFonts w:ascii="仿宋" w:hAnsi="仿宋" w:cs="仿宋"/>
          <w:color w:val="auto"/>
          <w:szCs w:val="24"/>
        </w:rPr>
      </w:pPr>
      <w:r>
        <w:rPr>
          <w:rFonts w:hint="eastAsia" w:ascii="仿宋" w:hAnsi="仿宋" w:cs="仿宋"/>
          <w:color w:val="auto"/>
          <w:szCs w:val="24"/>
        </w:rPr>
        <w:t>1. 学生组竞赛流程安排如表1所示：</w:t>
      </w:r>
    </w:p>
    <w:p>
      <w:pPr>
        <w:ind w:firstLine="480"/>
        <w:jc w:val="center"/>
        <w:rPr>
          <w:rFonts w:ascii="仿宋" w:hAnsi="仿宋" w:cs="仿宋"/>
          <w:color w:val="auto"/>
          <w:szCs w:val="24"/>
        </w:rPr>
      </w:pPr>
      <w:r>
        <w:rPr>
          <w:rFonts w:hint="eastAsia" w:ascii="仿宋" w:hAnsi="仿宋" w:cs="仿宋"/>
          <w:color w:val="auto"/>
          <w:szCs w:val="24"/>
        </w:rPr>
        <w:t>表1. 建筑装饰技能赛项学生组竞赛流程安排表</w:t>
      </w:r>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708"/>
        <w:gridCol w:w="1701"/>
        <w:gridCol w:w="2605"/>
        <w:gridCol w:w="1403"/>
        <w:gridCol w:w="10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61" w:type="dxa"/>
            <w:gridSpan w:val="2"/>
            <w:tcBorders>
              <w:top w:val="single" w:color="auto" w:sz="8" w:space="0"/>
              <w:bottom w:val="single" w:color="auto" w:sz="8" w:space="0"/>
              <w:right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竞赛阶段</w:t>
            </w:r>
          </w:p>
        </w:tc>
        <w:tc>
          <w:tcPr>
            <w:tcW w:w="1701" w:type="dxa"/>
            <w:tcBorders>
              <w:top w:val="single" w:color="auto" w:sz="8" w:space="0"/>
              <w:left w:val="single" w:color="auto" w:sz="8" w:space="0"/>
              <w:bottom w:val="single" w:color="auto" w:sz="8" w:space="0"/>
            </w:tcBorders>
            <w:vAlign w:val="center"/>
          </w:tcPr>
          <w:p>
            <w:pPr>
              <w:spacing w:line="240" w:lineRule="auto"/>
              <w:ind w:firstLine="0" w:firstLineChars="0"/>
              <w:rPr>
                <w:rFonts w:ascii="仿宋" w:hAnsi="仿宋" w:cs="仿宋"/>
                <w:color w:val="auto"/>
                <w:kern w:val="0"/>
                <w:sz w:val="22"/>
              </w:rPr>
            </w:pPr>
            <w:r>
              <w:rPr>
                <w:rFonts w:hint="eastAsia" w:ascii="仿宋" w:hAnsi="仿宋" w:cs="仿宋"/>
                <w:color w:val="auto"/>
                <w:kern w:val="0"/>
                <w:sz w:val="22"/>
              </w:rPr>
              <w:t>时间安排</w:t>
            </w:r>
          </w:p>
        </w:tc>
        <w:tc>
          <w:tcPr>
            <w:tcW w:w="2605" w:type="dxa"/>
            <w:tcBorders>
              <w:top w:val="single" w:color="auto" w:sz="8" w:space="0"/>
              <w:bottom w:val="single" w:color="auto" w:sz="8" w:space="0"/>
            </w:tcBorders>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工作内容</w:t>
            </w:r>
          </w:p>
        </w:tc>
        <w:tc>
          <w:tcPr>
            <w:tcW w:w="1403" w:type="dxa"/>
            <w:tcBorders>
              <w:top w:val="single" w:color="auto" w:sz="8" w:space="0"/>
              <w:bottom w:val="single" w:color="auto" w:sz="8" w:space="0"/>
            </w:tcBorders>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责任方</w:t>
            </w:r>
          </w:p>
        </w:tc>
        <w:tc>
          <w:tcPr>
            <w:tcW w:w="1092" w:type="dxa"/>
            <w:tcBorders>
              <w:top w:val="single" w:color="auto" w:sz="8" w:space="0"/>
              <w:bottom w:val="single" w:color="auto" w:sz="8" w:space="0"/>
            </w:tcBorders>
            <w:vAlign w:val="center"/>
          </w:tcPr>
          <w:p>
            <w:pPr>
              <w:spacing w:line="240" w:lineRule="auto"/>
              <w:ind w:firstLine="0" w:firstLineChars="0"/>
              <w:rPr>
                <w:rFonts w:ascii="仿宋" w:hAnsi="仿宋" w:cs="仿宋"/>
                <w:color w:val="auto"/>
                <w:kern w:val="0"/>
                <w:sz w:val="22"/>
              </w:rPr>
            </w:pPr>
            <w:r>
              <w:rPr>
                <w:rFonts w:hint="eastAsia" w:ascii="仿宋" w:hAnsi="仿宋" w:cs="仿宋"/>
                <w:color w:val="auto"/>
                <w:kern w:val="0"/>
                <w:sz w:val="22"/>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3" w:type="dxa"/>
            <w:vMerge w:val="restart"/>
            <w:tcBorders>
              <w:top w:val="single" w:color="auto" w:sz="8" w:space="0"/>
              <w:bottom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赛前</w:t>
            </w:r>
          </w:p>
        </w:tc>
        <w:tc>
          <w:tcPr>
            <w:tcW w:w="708" w:type="dxa"/>
            <w:vMerge w:val="restart"/>
            <w:tcBorders>
              <w:top w:val="single" w:color="auto" w:sz="8" w:space="0"/>
              <w:bottom w:val="single" w:color="auto" w:sz="8" w:space="0"/>
              <w:right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第</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1</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天</w:t>
            </w:r>
          </w:p>
        </w:tc>
        <w:tc>
          <w:tcPr>
            <w:tcW w:w="1701" w:type="dxa"/>
            <w:tcBorders>
              <w:top w:val="single" w:color="auto" w:sz="8" w:space="0"/>
              <w:left w:val="single" w:color="auto" w:sz="8" w:space="0"/>
            </w:tcBorders>
            <w:vAlign w:val="center"/>
          </w:tcPr>
          <w:p>
            <w:pPr>
              <w:pStyle w:val="16"/>
              <w:autoSpaceDE/>
              <w:autoSpaceDN/>
              <w:adjustRightInd/>
              <w:jc w:val="both"/>
              <w:rPr>
                <w:rFonts w:ascii="仿宋" w:hAnsi="仿宋" w:eastAsia="仿宋" w:cs="仿宋"/>
                <w:bCs/>
                <w:color w:val="auto"/>
                <w:kern w:val="2"/>
                <w:sz w:val="22"/>
                <w:szCs w:val="22"/>
              </w:rPr>
            </w:pPr>
            <w:r>
              <w:rPr>
                <w:rFonts w:hint="eastAsia" w:ascii="仿宋" w:hAnsi="仿宋" w:eastAsia="仿宋" w:cs="仿宋"/>
                <w:bCs/>
                <w:color w:val="auto"/>
                <w:kern w:val="2"/>
                <w:sz w:val="22"/>
                <w:szCs w:val="22"/>
              </w:rPr>
              <w:t>8:00-11:30</w:t>
            </w:r>
          </w:p>
        </w:tc>
        <w:tc>
          <w:tcPr>
            <w:tcW w:w="2605" w:type="dxa"/>
            <w:tcBorders>
              <w:top w:val="single" w:color="auto" w:sz="8" w:space="0"/>
            </w:tcBorders>
            <w:vAlign w:val="center"/>
          </w:tcPr>
          <w:p>
            <w:pPr>
              <w:pStyle w:val="16"/>
              <w:autoSpaceDE/>
              <w:autoSpaceDN/>
              <w:adjustRightInd/>
              <w:jc w:val="both"/>
              <w:rPr>
                <w:rFonts w:ascii="仿宋" w:hAnsi="仿宋" w:eastAsia="仿宋" w:cs="仿宋"/>
                <w:bCs/>
                <w:color w:val="auto"/>
                <w:kern w:val="2"/>
                <w:sz w:val="22"/>
                <w:szCs w:val="22"/>
              </w:rPr>
            </w:pPr>
            <w:r>
              <w:rPr>
                <w:rFonts w:hint="eastAsia" w:ascii="仿宋" w:hAnsi="仿宋" w:eastAsia="仿宋" w:cs="仿宋"/>
                <w:bCs/>
                <w:color w:val="auto"/>
                <w:kern w:val="2"/>
                <w:sz w:val="22"/>
                <w:szCs w:val="22"/>
              </w:rPr>
              <w:t>报到</w:t>
            </w:r>
          </w:p>
        </w:tc>
        <w:tc>
          <w:tcPr>
            <w:tcW w:w="1403" w:type="dxa"/>
            <w:tcBorders>
              <w:top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承办校</w:t>
            </w:r>
          </w:p>
        </w:tc>
        <w:tc>
          <w:tcPr>
            <w:tcW w:w="1092" w:type="dxa"/>
            <w:tcBorders>
              <w:top w:val="single" w:color="auto" w:sz="8" w:space="0"/>
            </w:tcBorders>
            <w:vAlign w:val="center"/>
          </w:tcPr>
          <w:p>
            <w:pPr>
              <w:spacing w:line="240" w:lineRule="auto"/>
              <w:ind w:firstLine="0" w:firstLineChars="0"/>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3" w:type="dxa"/>
            <w:vMerge w:val="continue"/>
            <w:tcBorders>
              <w:bottom w:val="single" w:color="auto" w:sz="8" w:space="0"/>
            </w:tcBorders>
          </w:tcPr>
          <w:p>
            <w:pPr>
              <w:spacing w:line="240" w:lineRule="auto"/>
              <w:ind w:firstLine="0" w:firstLineChars="0"/>
              <w:jc w:val="center"/>
              <w:rPr>
                <w:rFonts w:ascii="仿宋" w:hAnsi="仿宋" w:cs="仿宋"/>
                <w:color w:val="auto"/>
                <w:kern w:val="0"/>
                <w:sz w:val="22"/>
              </w:rPr>
            </w:pPr>
          </w:p>
        </w:tc>
        <w:tc>
          <w:tcPr>
            <w:tcW w:w="70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1701" w:type="dxa"/>
            <w:tcBorders>
              <w:left w:val="single" w:color="auto" w:sz="8" w:space="0"/>
            </w:tcBorders>
            <w:vAlign w:val="center"/>
          </w:tcPr>
          <w:p>
            <w:pPr>
              <w:pStyle w:val="16"/>
              <w:autoSpaceDE/>
              <w:autoSpaceDN/>
              <w:adjustRightInd/>
              <w:jc w:val="both"/>
              <w:rPr>
                <w:rFonts w:ascii="仿宋" w:hAnsi="仿宋" w:eastAsia="仿宋" w:cs="仿宋"/>
                <w:bCs/>
                <w:color w:val="auto"/>
                <w:kern w:val="2"/>
                <w:sz w:val="22"/>
                <w:szCs w:val="22"/>
              </w:rPr>
            </w:pPr>
            <w:r>
              <w:rPr>
                <w:rFonts w:hint="eastAsia" w:ascii="仿宋" w:hAnsi="仿宋" w:eastAsia="仿宋" w:cs="仿宋"/>
                <w:bCs/>
                <w:color w:val="auto"/>
                <w:kern w:val="2"/>
                <w:sz w:val="22"/>
                <w:szCs w:val="22"/>
              </w:rPr>
              <w:t>14:00-15:00</w:t>
            </w:r>
          </w:p>
        </w:tc>
        <w:tc>
          <w:tcPr>
            <w:tcW w:w="2605" w:type="dxa"/>
            <w:vAlign w:val="center"/>
          </w:tcPr>
          <w:p>
            <w:pPr>
              <w:pStyle w:val="16"/>
              <w:autoSpaceDE/>
              <w:autoSpaceDN/>
              <w:adjustRightInd/>
              <w:jc w:val="both"/>
              <w:rPr>
                <w:rFonts w:ascii="仿宋" w:hAnsi="仿宋" w:eastAsia="仿宋" w:cs="仿宋"/>
                <w:bCs/>
                <w:color w:val="auto"/>
                <w:kern w:val="2"/>
                <w:sz w:val="22"/>
                <w:szCs w:val="22"/>
              </w:rPr>
            </w:pPr>
            <w:r>
              <w:rPr>
                <w:rFonts w:hint="eastAsia" w:ascii="仿宋" w:hAnsi="仿宋" w:eastAsia="仿宋" w:cs="仿宋"/>
                <w:bCs/>
                <w:color w:val="auto"/>
                <w:kern w:val="2"/>
                <w:sz w:val="22"/>
                <w:szCs w:val="22"/>
              </w:rPr>
              <w:t>领队会</w:t>
            </w:r>
          </w:p>
        </w:tc>
        <w:tc>
          <w:tcPr>
            <w:tcW w:w="1403" w:type="dxa"/>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监督组</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专家组</w:t>
            </w:r>
          </w:p>
        </w:tc>
        <w:tc>
          <w:tcPr>
            <w:tcW w:w="1092" w:type="dxa"/>
            <w:vAlign w:val="center"/>
          </w:tcPr>
          <w:p>
            <w:pPr>
              <w:spacing w:line="240" w:lineRule="auto"/>
              <w:ind w:firstLine="0" w:firstLineChars="0"/>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3" w:type="dxa"/>
            <w:vMerge w:val="continue"/>
            <w:tcBorders>
              <w:bottom w:val="single" w:color="auto" w:sz="8" w:space="0"/>
            </w:tcBorders>
          </w:tcPr>
          <w:p>
            <w:pPr>
              <w:spacing w:line="240" w:lineRule="auto"/>
              <w:ind w:firstLine="0" w:firstLineChars="0"/>
              <w:jc w:val="center"/>
              <w:rPr>
                <w:rFonts w:ascii="仿宋" w:hAnsi="仿宋" w:cs="仿宋"/>
                <w:color w:val="auto"/>
                <w:kern w:val="0"/>
                <w:sz w:val="22"/>
              </w:rPr>
            </w:pPr>
          </w:p>
        </w:tc>
        <w:tc>
          <w:tcPr>
            <w:tcW w:w="70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1701" w:type="dxa"/>
            <w:tcBorders>
              <w:left w:val="single" w:color="auto" w:sz="8" w:space="0"/>
            </w:tcBorders>
            <w:vAlign w:val="center"/>
          </w:tcPr>
          <w:p>
            <w:pPr>
              <w:pStyle w:val="16"/>
              <w:autoSpaceDE/>
              <w:autoSpaceDN/>
              <w:adjustRightInd/>
              <w:jc w:val="both"/>
              <w:rPr>
                <w:rFonts w:ascii="仿宋" w:hAnsi="仿宋" w:eastAsia="仿宋" w:cs="仿宋"/>
                <w:bCs/>
                <w:color w:val="auto"/>
                <w:kern w:val="2"/>
                <w:sz w:val="22"/>
                <w:szCs w:val="22"/>
              </w:rPr>
            </w:pPr>
            <w:r>
              <w:rPr>
                <w:rFonts w:hint="eastAsia" w:ascii="仿宋" w:hAnsi="仿宋" w:eastAsia="仿宋" w:cs="仿宋"/>
                <w:bCs/>
                <w:color w:val="auto"/>
                <w:kern w:val="2"/>
                <w:sz w:val="22"/>
                <w:szCs w:val="22"/>
              </w:rPr>
              <w:t>15:00-16:00</w:t>
            </w:r>
          </w:p>
        </w:tc>
        <w:tc>
          <w:tcPr>
            <w:tcW w:w="2605" w:type="dxa"/>
            <w:vAlign w:val="center"/>
          </w:tcPr>
          <w:p>
            <w:pPr>
              <w:pStyle w:val="16"/>
              <w:autoSpaceDE/>
              <w:autoSpaceDN/>
              <w:adjustRightInd/>
              <w:jc w:val="both"/>
              <w:rPr>
                <w:rFonts w:ascii="仿宋" w:hAnsi="仿宋" w:eastAsia="仿宋" w:cs="仿宋"/>
                <w:bCs/>
                <w:color w:val="auto"/>
                <w:kern w:val="2"/>
                <w:sz w:val="22"/>
                <w:szCs w:val="22"/>
              </w:rPr>
            </w:pPr>
            <w:r>
              <w:rPr>
                <w:rFonts w:hint="eastAsia" w:ascii="仿宋" w:hAnsi="仿宋" w:eastAsia="仿宋" w:cs="仿宋"/>
                <w:bCs/>
                <w:color w:val="auto"/>
                <w:kern w:val="2"/>
                <w:sz w:val="22"/>
                <w:szCs w:val="22"/>
              </w:rPr>
              <w:t>熟悉赛场</w:t>
            </w:r>
          </w:p>
        </w:tc>
        <w:tc>
          <w:tcPr>
            <w:tcW w:w="1403" w:type="dxa"/>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2" w:type="dxa"/>
            <w:vAlign w:val="center"/>
          </w:tcPr>
          <w:p>
            <w:pPr>
              <w:spacing w:line="240" w:lineRule="auto"/>
              <w:ind w:firstLine="0" w:firstLineChars="0"/>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3" w:type="dxa"/>
            <w:vMerge w:val="continue"/>
            <w:tcBorders>
              <w:bottom w:val="single" w:color="auto" w:sz="8" w:space="0"/>
            </w:tcBorders>
          </w:tcPr>
          <w:p>
            <w:pPr>
              <w:spacing w:line="240" w:lineRule="auto"/>
              <w:ind w:firstLine="0" w:firstLineChars="0"/>
              <w:jc w:val="center"/>
              <w:rPr>
                <w:rFonts w:ascii="仿宋" w:hAnsi="仿宋" w:cs="仿宋"/>
                <w:color w:val="auto"/>
                <w:kern w:val="0"/>
                <w:sz w:val="22"/>
              </w:rPr>
            </w:pPr>
          </w:p>
        </w:tc>
        <w:tc>
          <w:tcPr>
            <w:tcW w:w="70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1701" w:type="dxa"/>
            <w:tcBorders>
              <w:left w:val="single" w:color="auto" w:sz="8" w:space="0"/>
              <w:bottom w:val="single" w:color="auto" w:sz="8" w:space="0"/>
            </w:tcBorders>
            <w:vAlign w:val="center"/>
          </w:tcPr>
          <w:p>
            <w:pPr>
              <w:pStyle w:val="16"/>
              <w:autoSpaceDE/>
              <w:autoSpaceDN/>
              <w:adjustRightInd/>
              <w:jc w:val="both"/>
              <w:rPr>
                <w:rFonts w:ascii="仿宋" w:hAnsi="仿宋" w:eastAsia="仿宋" w:cs="仿宋"/>
                <w:bCs/>
                <w:color w:val="auto"/>
                <w:kern w:val="2"/>
                <w:sz w:val="22"/>
                <w:szCs w:val="22"/>
              </w:rPr>
            </w:pPr>
            <w:r>
              <w:rPr>
                <w:rFonts w:hint="eastAsia" w:ascii="仿宋" w:hAnsi="仿宋" w:eastAsia="仿宋" w:cs="仿宋"/>
                <w:bCs/>
                <w:color w:val="auto"/>
                <w:kern w:val="2"/>
                <w:sz w:val="22"/>
                <w:szCs w:val="22"/>
              </w:rPr>
              <w:t>14:00-16:00</w:t>
            </w:r>
          </w:p>
        </w:tc>
        <w:tc>
          <w:tcPr>
            <w:tcW w:w="2605" w:type="dxa"/>
            <w:tcBorders>
              <w:bottom w:val="single" w:color="auto" w:sz="8" w:space="0"/>
            </w:tcBorders>
            <w:vAlign w:val="center"/>
          </w:tcPr>
          <w:p>
            <w:pPr>
              <w:pStyle w:val="16"/>
              <w:autoSpaceDE/>
              <w:autoSpaceDN/>
              <w:adjustRightInd/>
              <w:jc w:val="both"/>
              <w:rPr>
                <w:rFonts w:ascii="仿宋" w:hAnsi="仿宋" w:eastAsia="仿宋" w:cs="仿宋"/>
                <w:bCs/>
                <w:color w:val="auto"/>
                <w:kern w:val="2"/>
                <w:sz w:val="22"/>
                <w:szCs w:val="22"/>
              </w:rPr>
            </w:pPr>
            <w:r>
              <w:rPr>
                <w:rFonts w:hint="eastAsia" w:ascii="仿宋" w:hAnsi="仿宋" w:eastAsia="仿宋" w:cs="仿宋"/>
                <w:bCs/>
                <w:color w:val="auto"/>
                <w:kern w:val="2"/>
                <w:sz w:val="22"/>
                <w:szCs w:val="22"/>
              </w:rPr>
              <w:t>裁判员会议</w:t>
            </w:r>
          </w:p>
        </w:tc>
        <w:tc>
          <w:tcPr>
            <w:tcW w:w="1403" w:type="dxa"/>
            <w:tcBorders>
              <w:bottom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专家组</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仲裁组</w:t>
            </w:r>
          </w:p>
        </w:tc>
        <w:tc>
          <w:tcPr>
            <w:tcW w:w="1092" w:type="dxa"/>
            <w:tcBorders>
              <w:bottom w:val="single" w:color="auto" w:sz="8" w:space="0"/>
            </w:tcBorders>
            <w:vAlign w:val="center"/>
          </w:tcPr>
          <w:p>
            <w:pPr>
              <w:spacing w:line="240" w:lineRule="auto"/>
              <w:ind w:firstLine="0" w:firstLineChars="0"/>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3" w:type="dxa"/>
            <w:vMerge w:val="restart"/>
            <w:tcBorders>
              <w:top w:val="single" w:color="auto" w:sz="8" w:space="0"/>
              <w:bottom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赛中</w:t>
            </w:r>
          </w:p>
        </w:tc>
        <w:tc>
          <w:tcPr>
            <w:tcW w:w="708" w:type="dxa"/>
            <w:vMerge w:val="restart"/>
            <w:tcBorders>
              <w:top w:val="single" w:color="auto" w:sz="8" w:space="0"/>
              <w:bottom w:val="single" w:color="auto" w:sz="8" w:space="0"/>
              <w:right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第</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1</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天</w:t>
            </w:r>
          </w:p>
        </w:tc>
        <w:tc>
          <w:tcPr>
            <w:tcW w:w="1701" w:type="dxa"/>
            <w:tcBorders>
              <w:top w:val="single" w:color="auto" w:sz="8" w:space="0"/>
              <w:left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17</w:t>
            </w:r>
            <w:r>
              <w:rPr>
                <w:rFonts w:ascii="仿宋_GB2312" w:hAnsi="仿宋_GB2312" w:eastAsia="仿宋_GB2312" w:cs="仿宋_GB2312"/>
                <w:bCs/>
                <w:color w:val="auto"/>
                <w:sz w:val="22"/>
              </w:rPr>
              <w:t>:</w:t>
            </w:r>
            <w:r>
              <w:rPr>
                <w:rFonts w:hint="eastAsia" w:ascii="仿宋_GB2312" w:hAnsi="仿宋_GB2312" w:eastAsia="仿宋_GB2312" w:cs="仿宋_GB2312"/>
                <w:bCs/>
                <w:color w:val="auto"/>
                <w:sz w:val="22"/>
              </w:rPr>
              <w:t>45</w:t>
            </w:r>
            <w:r>
              <w:rPr>
                <w:rFonts w:ascii="仿宋_GB2312" w:hAnsi="仿宋_GB2312" w:eastAsia="仿宋_GB2312" w:cs="仿宋_GB2312"/>
                <w:bCs/>
                <w:color w:val="auto"/>
                <w:sz w:val="22"/>
              </w:rPr>
              <w:t>-1</w:t>
            </w:r>
            <w:r>
              <w:rPr>
                <w:rFonts w:hint="eastAsia" w:ascii="仿宋_GB2312" w:hAnsi="仿宋_GB2312" w:eastAsia="仿宋_GB2312" w:cs="仿宋_GB2312"/>
                <w:bCs/>
                <w:color w:val="auto"/>
                <w:sz w:val="22"/>
              </w:rPr>
              <w:t>8</w:t>
            </w:r>
            <w:r>
              <w:rPr>
                <w:rFonts w:ascii="仿宋_GB2312" w:hAnsi="仿宋_GB2312" w:eastAsia="仿宋_GB2312" w:cs="仿宋_GB2312"/>
                <w:bCs/>
                <w:color w:val="auto"/>
                <w:sz w:val="22"/>
              </w:rPr>
              <w:t>:</w:t>
            </w:r>
            <w:r>
              <w:rPr>
                <w:rFonts w:hint="eastAsia" w:ascii="仿宋_GB2312" w:hAnsi="仿宋_GB2312" w:eastAsia="仿宋_GB2312" w:cs="仿宋_GB2312"/>
                <w:bCs/>
                <w:color w:val="auto"/>
                <w:sz w:val="22"/>
              </w:rPr>
              <w:t>15</w:t>
            </w:r>
          </w:p>
        </w:tc>
        <w:tc>
          <w:tcPr>
            <w:tcW w:w="2605" w:type="dxa"/>
            <w:tcBorders>
              <w:top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ascii="仿宋_GB2312" w:hAnsi="仿宋_GB2312" w:eastAsia="仿宋_GB2312" w:cs="仿宋_GB2312"/>
                <w:bCs/>
                <w:color w:val="auto"/>
                <w:sz w:val="22"/>
              </w:rPr>
              <w:t>抽签、检录入场</w:t>
            </w:r>
          </w:p>
        </w:tc>
        <w:tc>
          <w:tcPr>
            <w:tcW w:w="1403" w:type="dxa"/>
            <w:tcBorders>
              <w:top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2" w:type="dxa"/>
            <w:tcBorders>
              <w:top w:val="single" w:color="auto" w:sz="8" w:space="0"/>
            </w:tcBorders>
            <w:vAlign w:val="center"/>
          </w:tcPr>
          <w:p>
            <w:pPr>
              <w:spacing w:line="240" w:lineRule="auto"/>
              <w:ind w:firstLine="0" w:firstLineChars="0"/>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3" w:type="dxa"/>
            <w:vMerge w:val="continue"/>
            <w:tcBorders>
              <w:bottom w:val="single" w:color="auto" w:sz="8" w:space="0"/>
            </w:tcBorders>
          </w:tcPr>
          <w:p>
            <w:pPr>
              <w:spacing w:line="240" w:lineRule="auto"/>
              <w:ind w:firstLine="0" w:firstLineChars="0"/>
              <w:jc w:val="center"/>
              <w:rPr>
                <w:rFonts w:ascii="仿宋" w:hAnsi="仿宋" w:cs="仿宋"/>
                <w:color w:val="auto"/>
                <w:kern w:val="0"/>
                <w:sz w:val="22"/>
              </w:rPr>
            </w:pPr>
          </w:p>
        </w:tc>
        <w:tc>
          <w:tcPr>
            <w:tcW w:w="70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1701" w:type="dxa"/>
            <w:tcBorders>
              <w:left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1</w:t>
            </w:r>
            <w:r>
              <w:rPr>
                <w:rFonts w:ascii="仿宋_GB2312" w:hAnsi="仿宋_GB2312" w:eastAsia="仿宋_GB2312" w:cs="仿宋_GB2312"/>
                <w:bCs/>
                <w:color w:val="auto"/>
                <w:sz w:val="22"/>
              </w:rPr>
              <w:t>8:</w:t>
            </w:r>
            <w:r>
              <w:rPr>
                <w:rFonts w:hint="eastAsia" w:ascii="仿宋_GB2312" w:hAnsi="仿宋_GB2312" w:eastAsia="仿宋_GB2312" w:cs="仿宋_GB2312"/>
                <w:bCs/>
                <w:color w:val="auto"/>
                <w:sz w:val="22"/>
              </w:rPr>
              <w:t>15</w:t>
            </w:r>
            <w:r>
              <w:rPr>
                <w:rFonts w:ascii="仿宋_GB2312" w:hAnsi="仿宋_GB2312" w:eastAsia="仿宋_GB2312" w:cs="仿宋_GB2312"/>
                <w:bCs/>
                <w:color w:val="auto"/>
                <w:sz w:val="22"/>
              </w:rPr>
              <w:t>-1</w:t>
            </w:r>
            <w:r>
              <w:rPr>
                <w:rFonts w:hint="eastAsia" w:ascii="仿宋_GB2312" w:hAnsi="仿宋_GB2312" w:eastAsia="仿宋_GB2312" w:cs="仿宋_GB2312"/>
                <w:bCs/>
                <w:color w:val="auto"/>
                <w:sz w:val="22"/>
              </w:rPr>
              <w:t>8</w:t>
            </w:r>
            <w:r>
              <w:rPr>
                <w:rFonts w:ascii="仿宋_GB2312" w:hAnsi="仿宋_GB2312" w:eastAsia="仿宋_GB2312" w:cs="仿宋_GB2312"/>
                <w:bCs/>
                <w:color w:val="auto"/>
                <w:sz w:val="22"/>
              </w:rPr>
              <w:t>:30</w:t>
            </w:r>
          </w:p>
        </w:tc>
        <w:tc>
          <w:tcPr>
            <w:tcW w:w="2605" w:type="dxa"/>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检查竞赛设备</w:t>
            </w:r>
          </w:p>
        </w:tc>
        <w:tc>
          <w:tcPr>
            <w:tcW w:w="1403" w:type="dxa"/>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2" w:type="dxa"/>
            <w:vAlign w:val="center"/>
          </w:tcPr>
          <w:p>
            <w:pPr>
              <w:spacing w:line="240" w:lineRule="auto"/>
              <w:ind w:firstLine="0" w:firstLineChars="0"/>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3" w:type="dxa"/>
            <w:vMerge w:val="continue"/>
            <w:tcBorders>
              <w:bottom w:val="single" w:color="auto" w:sz="8" w:space="0"/>
            </w:tcBorders>
          </w:tcPr>
          <w:p>
            <w:pPr>
              <w:spacing w:line="240" w:lineRule="auto"/>
              <w:ind w:firstLine="0" w:firstLineChars="0"/>
              <w:jc w:val="center"/>
              <w:rPr>
                <w:rFonts w:ascii="仿宋" w:hAnsi="仿宋" w:cs="仿宋"/>
                <w:color w:val="auto"/>
                <w:kern w:val="0"/>
                <w:sz w:val="22"/>
              </w:rPr>
            </w:pPr>
          </w:p>
        </w:tc>
        <w:tc>
          <w:tcPr>
            <w:tcW w:w="70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1701" w:type="dxa"/>
            <w:tcBorders>
              <w:left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1</w:t>
            </w:r>
            <w:r>
              <w:rPr>
                <w:rFonts w:ascii="仿宋_GB2312" w:hAnsi="仿宋_GB2312" w:eastAsia="仿宋_GB2312" w:cs="仿宋_GB2312"/>
                <w:bCs/>
                <w:color w:val="auto"/>
                <w:sz w:val="22"/>
              </w:rPr>
              <w:t>8:30-1</w:t>
            </w:r>
            <w:r>
              <w:rPr>
                <w:rFonts w:hint="eastAsia" w:ascii="仿宋_GB2312" w:hAnsi="仿宋_GB2312" w:eastAsia="仿宋_GB2312" w:cs="仿宋_GB2312"/>
                <w:bCs/>
                <w:color w:val="auto"/>
                <w:sz w:val="22"/>
              </w:rPr>
              <w:t>9</w:t>
            </w:r>
            <w:r>
              <w:rPr>
                <w:rFonts w:ascii="仿宋_GB2312" w:hAnsi="仿宋_GB2312" w:eastAsia="仿宋_GB2312" w:cs="仿宋_GB2312"/>
                <w:bCs/>
                <w:color w:val="auto"/>
                <w:sz w:val="22"/>
              </w:rPr>
              <w:t>:30</w:t>
            </w:r>
          </w:p>
        </w:tc>
        <w:tc>
          <w:tcPr>
            <w:tcW w:w="2605" w:type="dxa"/>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
                <w:color w:val="auto"/>
                <w:sz w:val="22"/>
              </w:rPr>
              <w:t>理论知识竞赛</w:t>
            </w:r>
          </w:p>
        </w:tc>
        <w:tc>
          <w:tcPr>
            <w:tcW w:w="1403" w:type="dxa"/>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2" w:type="dxa"/>
            <w:vAlign w:val="center"/>
          </w:tcPr>
          <w:p>
            <w:pPr>
              <w:spacing w:line="240" w:lineRule="auto"/>
              <w:ind w:firstLine="0" w:firstLineChars="0"/>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3" w:type="dxa"/>
            <w:vMerge w:val="continue"/>
            <w:tcBorders>
              <w:bottom w:val="single" w:color="auto" w:sz="8" w:space="0"/>
            </w:tcBorders>
          </w:tcPr>
          <w:p>
            <w:pPr>
              <w:spacing w:line="240" w:lineRule="auto"/>
              <w:ind w:firstLine="0" w:firstLineChars="0"/>
              <w:jc w:val="center"/>
              <w:rPr>
                <w:rFonts w:ascii="仿宋" w:hAnsi="仿宋" w:cs="仿宋"/>
                <w:color w:val="auto"/>
                <w:kern w:val="0"/>
                <w:sz w:val="22"/>
              </w:rPr>
            </w:pPr>
          </w:p>
        </w:tc>
        <w:tc>
          <w:tcPr>
            <w:tcW w:w="70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1701" w:type="dxa"/>
            <w:tcBorders>
              <w:left w:val="single" w:color="auto" w:sz="8" w:space="0"/>
              <w:bottom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19</w:t>
            </w:r>
            <w:r>
              <w:rPr>
                <w:rFonts w:ascii="仿宋_GB2312" w:hAnsi="仿宋_GB2312" w:eastAsia="仿宋_GB2312" w:cs="仿宋_GB2312"/>
                <w:bCs/>
                <w:color w:val="auto"/>
                <w:sz w:val="22"/>
              </w:rPr>
              <w:t>:30-</w:t>
            </w:r>
            <w:r>
              <w:rPr>
                <w:rFonts w:hint="eastAsia" w:ascii="仿宋_GB2312" w:hAnsi="仿宋_GB2312" w:eastAsia="仿宋_GB2312" w:cs="仿宋_GB2312"/>
                <w:bCs/>
                <w:color w:val="auto"/>
                <w:sz w:val="22"/>
              </w:rPr>
              <w:t>20</w:t>
            </w:r>
            <w:r>
              <w:rPr>
                <w:rFonts w:ascii="仿宋_GB2312" w:hAnsi="仿宋_GB2312" w:eastAsia="仿宋_GB2312" w:cs="仿宋_GB2312"/>
                <w:bCs/>
                <w:color w:val="auto"/>
                <w:sz w:val="22"/>
              </w:rPr>
              <w:t>:30</w:t>
            </w:r>
          </w:p>
        </w:tc>
        <w:tc>
          <w:tcPr>
            <w:tcW w:w="2605" w:type="dxa"/>
            <w:tcBorders>
              <w:bottom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登记成绩</w:t>
            </w:r>
          </w:p>
        </w:tc>
        <w:tc>
          <w:tcPr>
            <w:tcW w:w="1403" w:type="dxa"/>
            <w:tcBorders>
              <w:bottom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2" w:type="dxa"/>
            <w:tcBorders>
              <w:bottom w:val="single" w:color="auto" w:sz="8" w:space="0"/>
            </w:tcBorders>
            <w:vAlign w:val="center"/>
          </w:tcPr>
          <w:p>
            <w:pPr>
              <w:spacing w:line="240" w:lineRule="auto"/>
              <w:ind w:firstLine="0" w:firstLineChars="0"/>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3" w:type="dxa"/>
            <w:vMerge w:val="continue"/>
            <w:tcBorders>
              <w:bottom w:val="single" w:color="auto" w:sz="8" w:space="0"/>
            </w:tcBorders>
          </w:tcPr>
          <w:p>
            <w:pPr>
              <w:spacing w:line="240" w:lineRule="auto"/>
              <w:ind w:firstLine="0" w:firstLineChars="0"/>
              <w:jc w:val="center"/>
              <w:rPr>
                <w:rFonts w:ascii="仿宋" w:hAnsi="仿宋" w:cs="仿宋"/>
                <w:color w:val="auto"/>
                <w:kern w:val="0"/>
                <w:sz w:val="22"/>
              </w:rPr>
            </w:pPr>
          </w:p>
        </w:tc>
        <w:tc>
          <w:tcPr>
            <w:tcW w:w="708" w:type="dxa"/>
            <w:vMerge w:val="restart"/>
            <w:tcBorders>
              <w:top w:val="single" w:color="auto" w:sz="8" w:space="0"/>
              <w:bottom w:val="single" w:color="auto" w:sz="8" w:space="0"/>
              <w:right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第</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2</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天</w:t>
            </w:r>
          </w:p>
        </w:tc>
        <w:tc>
          <w:tcPr>
            <w:tcW w:w="1701" w:type="dxa"/>
            <w:tcBorders>
              <w:top w:val="single" w:color="auto" w:sz="8" w:space="0"/>
              <w:left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ascii="仿宋_GB2312" w:hAnsi="仿宋_GB2312" w:eastAsia="仿宋_GB2312" w:cs="仿宋_GB2312"/>
                <w:bCs/>
                <w:color w:val="auto"/>
                <w:sz w:val="22"/>
              </w:rPr>
              <w:t>7:00-7:40</w:t>
            </w:r>
          </w:p>
        </w:tc>
        <w:tc>
          <w:tcPr>
            <w:tcW w:w="2605" w:type="dxa"/>
            <w:tcBorders>
              <w:top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ascii="仿宋_GB2312" w:hAnsi="仿宋_GB2312" w:eastAsia="仿宋_GB2312" w:cs="仿宋_GB2312"/>
                <w:bCs/>
                <w:color w:val="auto"/>
                <w:sz w:val="22"/>
              </w:rPr>
              <w:t>抽签、检录入场</w:t>
            </w:r>
          </w:p>
        </w:tc>
        <w:tc>
          <w:tcPr>
            <w:tcW w:w="1403" w:type="dxa"/>
            <w:tcBorders>
              <w:top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2" w:type="dxa"/>
            <w:tcBorders>
              <w:top w:val="single" w:color="auto" w:sz="8" w:space="0"/>
            </w:tcBorders>
            <w:vAlign w:val="center"/>
          </w:tcPr>
          <w:p>
            <w:pPr>
              <w:spacing w:line="240" w:lineRule="auto"/>
              <w:ind w:firstLine="0" w:firstLineChars="0"/>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3" w:type="dxa"/>
            <w:vMerge w:val="continue"/>
            <w:tcBorders>
              <w:bottom w:val="single" w:color="auto" w:sz="8" w:space="0"/>
            </w:tcBorders>
          </w:tcPr>
          <w:p>
            <w:pPr>
              <w:spacing w:line="240" w:lineRule="auto"/>
              <w:ind w:firstLine="0" w:firstLineChars="0"/>
              <w:jc w:val="center"/>
              <w:rPr>
                <w:rFonts w:ascii="仿宋" w:hAnsi="仿宋" w:cs="仿宋"/>
                <w:color w:val="auto"/>
                <w:kern w:val="0"/>
                <w:sz w:val="22"/>
              </w:rPr>
            </w:pPr>
          </w:p>
        </w:tc>
        <w:tc>
          <w:tcPr>
            <w:tcW w:w="70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1701" w:type="dxa"/>
            <w:tcBorders>
              <w:left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ascii="仿宋_GB2312" w:hAnsi="仿宋_GB2312" w:eastAsia="仿宋_GB2312" w:cs="仿宋_GB2312"/>
                <w:bCs/>
                <w:color w:val="auto"/>
                <w:sz w:val="22"/>
              </w:rPr>
              <w:t>7:40-8:00</w:t>
            </w:r>
          </w:p>
        </w:tc>
        <w:tc>
          <w:tcPr>
            <w:tcW w:w="2605" w:type="dxa"/>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检查竞赛设备</w:t>
            </w:r>
          </w:p>
        </w:tc>
        <w:tc>
          <w:tcPr>
            <w:tcW w:w="1403" w:type="dxa"/>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2" w:type="dxa"/>
            <w:vAlign w:val="center"/>
          </w:tcPr>
          <w:p>
            <w:pPr>
              <w:spacing w:line="240" w:lineRule="auto"/>
              <w:ind w:firstLine="0" w:firstLineChars="0"/>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3" w:type="dxa"/>
            <w:vMerge w:val="continue"/>
            <w:tcBorders>
              <w:bottom w:val="single" w:color="auto" w:sz="8" w:space="0"/>
            </w:tcBorders>
          </w:tcPr>
          <w:p>
            <w:pPr>
              <w:spacing w:line="240" w:lineRule="auto"/>
              <w:ind w:firstLine="0" w:firstLineChars="0"/>
              <w:jc w:val="center"/>
              <w:rPr>
                <w:rFonts w:ascii="仿宋" w:hAnsi="仿宋" w:cs="仿宋"/>
                <w:color w:val="auto"/>
                <w:kern w:val="0"/>
                <w:sz w:val="22"/>
              </w:rPr>
            </w:pPr>
          </w:p>
        </w:tc>
        <w:tc>
          <w:tcPr>
            <w:tcW w:w="70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1701" w:type="dxa"/>
            <w:tcBorders>
              <w:left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ascii="仿宋_GB2312" w:hAnsi="仿宋_GB2312" w:eastAsia="仿宋_GB2312" w:cs="仿宋_GB2312"/>
                <w:bCs/>
                <w:color w:val="auto"/>
                <w:sz w:val="22"/>
              </w:rPr>
              <w:t>8:00-12:00</w:t>
            </w:r>
          </w:p>
        </w:tc>
        <w:tc>
          <w:tcPr>
            <w:tcW w:w="2605" w:type="dxa"/>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
                <w:color w:val="auto"/>
                <w:sz w:val="22"/>
              </w:rPr>
              <w:t>建筑装饰施工图设计</w:t>
            </w:r>
          </w:p>
        </w:tc>
        <w:tc>
          <w:tcPr>
            <w:tcW w:w="1403" w:type="dxa"/>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2" w:type="dxa"/>
            <w:vAlign w:val="center"/>
          </w:tcPr>
          <w:p>
            <w:pPr>
              <w:spacing w:line="240" w:lineRule="auto"/>
              <w:ind w:firstLine="0" w:firstLineChars="0"/>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3" w:type="dxa"/>
            <w:vMerge w:val="continue"/>
            <w:tcBorders>
              <w:bottom w:val="single" w:color="auto" w:sz="8" w:space="0"/>
            </w:tcBorders>
          </w:tcPr>
          <w:p>
            <w:pPr>
              <w:spacing w:line="240" w:lineRule="auto"/>
              <w:ind w:firstLine="0" w:firstLineChars="0"/>
              <w:jc w:val="center"/>
              <w:rPr>
                <w:rFonts w:ascii="仿宋" w:hAnsi="仿宋" w:cs="仿宋"/>
                <w:color w:val="auto"/>
                <w:kern w:val="0"/>
                <w:sz w:val="22"/>
              </w:rPr>
            </w:pPr>
          </w:p>
        </w:tc>
        <w:tc>
          <w:tcPr>
            <w:tcW w:w="70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1701" w:type="dxa"/>
            <w:tcBorders>
              <w:left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ascii="仿宋_GB2312" w:hAnsi="仿宋_GB2312" w:eastAsia="仿宋_GB2312" w:cs="仿宋_GB2312"/>
                <w:bCs/>
                <w:color w:val="auto"/>
                <w:sz w:val="22"/>
              </w:rPr>
              <w:t>12:00-13:</w:t>
            </w:r>
            <w:r>
              <w:rPr>
                <w:rFonts w:hint="eastAsia" w:ascii="仿宋_GB2312" w:hAnsi="仿宋_GB2312" w:eastAsia="仿宋_GB2312" w:cs="仿宋_GB2312"/>
                <w:bCs/>
                <w:color w:val="auto"/>
                <w:sz w:val="22"/>
              </w:rPr>
              <w:t>0</w:t>
            </w:r>
            <w:r>
              <w:rPr>
                <w:rFonts w:ascii="仿宋_GB2312" w:hAnsi="仿宋_GB2312" w:eastAsia="仿宋_GB2312" w:cs="仿宋_GB2312"/>
                <w:bCs/>
                <w:color w:val="auto"/>
                <w:sz w:val="22"/>
              </w:rPr>
              <w:t>0</w:t>
            </w:r>
          </w:p>
        </w:tc>
        <w:tc>
          <w:tcPr>
            <w:tcW w:w="2605" w:type="dxa"/>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保存、拷贝，午休及午餐</w:t>
            </w:r>
          </w:p>
        </w:tc>
        <w:tc>
          <w:tcPr>
            <w:tcW w:w="1403" w:type="dxa"/>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2" w:type="dxa"/>
            <w:vAlign w:val="center"/>
          </w:tcPr>
          <w:p>
            <w:pPr>
              <w:spacing w:line="240" w:lineRule="auto"/>
              <w:ind w:firstLine="0" w:firstLineChars="0"/>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3" w:type="dxa"/>
            <w:vMerge w:val="continue"/>
            <w:tcBorders>
              <w:bottom w:val="single" w:color="auto" w:sz="8" w:space="0"/>
            </w:tcBorders>
          </w:tcPr>
          <w:p>
            <w:pPr>
              <w:spacing w:line="240" w:lineRule="auto"/>
              <w:ind w:firstLine="0" w:firstLineChars="0"/>
              <w:jc w:val="center"/>
              <w:rPr>
                <w:rFonts w:ascii="仿宋" w:hAnsi="仿宋" w:cs="仿宋"/>
                <w:color w:val="auto"/>
                <w:kern w:val="0"/>
                <w:sz w:val="22"/>
              </w:rPr>
            </w:pPr>
          </w:p>
        </w:tc>
        <w:tc>
          <w:tcPr>
            <w:tcW w:w="70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1701" w:type="dxa"/>
            <w:tcBorders>
              <w:left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ascii="仿宋_GB2312" w:hAnsi="仿宋_GB2312" w:eastAsia="仿宋_GB2312" w:cs="仿宋_GB2312"/>
                <w:bCs/>
                <w:color w:val="auto"/>
                <w:sz w:val="22"/>
              </w:rPr>
              <w:t>13:</w:t>
            </w:r>
            <w:r>
              <w:rPr>
                <w:rFonts w:hint="eastAsia" w:ascii="仿宋_GB2312" w:hAnsi="仿宋_GB2312" w:eastAsia="仿宋_GB2312" w:cs="仿宋_GB2312"/>
                <w:bCs/>
                <w:color w:val="auto"/>
                <w:sz w:val="22"/>
              </w:rPr>
              <w:t>0</w:t>
            </w:r>
            <w:r>
              <w:rPr>
                <w:rFonts w:ascii="仿宋_GB2312" w:hAnsi="仿宋_GB2312" w:eastAsia="仿宋_GB2312" w:cs="仿宋_GB2312"/>
                <w:bCs/>
                <w:color w:val="auto"/>
                <w:sz w:val="22"/>
              </w:rPr>
              <w:t>0-14:</w:t>
            </w:r>
            <w:r>
              <w:rPr>
                <w:rFonts w:hint="eastAsia" w:ascii="仿宋_GB2312" w:hAnsi="仿宋_GB2312" w:eastAsia="仿宋_GB2312" w:cs="仿宋_GB2312"/>
                <w:bCs/>
                <w:color w:val="auto"/>
                <w:sz w:val="22"/>
              </w:rPr>
              <w:t>0</w:t>
            </w:r>
            <w:r>
              <w:rPr>
                <w:rFonts w:ascii="仿宋_GB2312" w:hAnsi="仿宋_GB2312" w:eastAsia="仿宋_GB2312" w:cs="仿宋_GB2312"/>
                <w:bCs/>
                <w:color w:val="auto"/>
                <w:sz w:val="22"/>
              </w:rPr>
              <w:t>0</w:t>
            </w:r>
          </w:p>
        </w:tc>
        <w:tc>
          <w:tcPr>
            <w:tcW w:w="2605" w:type="dxa"/>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
                <w:color w:val="auto"/>
                <w:sz w:val="22"/>
              </w:rPr>
              <w:t>建筑装饰材料测算</w:t>
            </w:r>
          </w:p>
        </w:tc>
        <w:tc>
          <w:tcPr>
            <w:tcW w:w="1403" w:type="dxa"/>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2" w:type="dxa"/>
            <w:vAlign w:val="center"/>
          </w:tcPr>
          <w:p>
            <w:pPr>
              <w:spacing w:line="240" w:lineRule="auto"/>
              <w:ind w:firstLine="0" w:firstLineChars="0"/>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3" w:type="dxa"/>
            <w:vMerge w:val="continue"/>
            <w:tcBorders>
              <w:bottom w:val="single" w:color="auto" w:sz="8" w:space="0"/>
            </w:tcBorders>
          </w:tcPr>
          <w:p>
            <w:pPr>
              <w:spacing w:line="240" w:lineRule="auto"/>
              <w:ind w:firstLine="0" w:firstLineChars="0"/>
              <w:jc w:val="center"/>
              <w:rPr>
                <w:rFonts w:ascii="仿宋" w:hAnsi="仿宋" w:cs="仿宋"/>
                <w:color w:val="auto"/>
                <w:kern w:val="0"/>
                <w:sz w:val="22"/>
              </w:rPr>
            </w:pPr>
          </w:p>
        </w:tc>
        <w:tc>
          <w:tcPr>
            <w:tcW w:w="70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1701" w:type="dxa"/>
            <w:tcBorders>
              <w:left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ascii="仿宋_GB2312" w:hAnsi="仿宋_GB2312" w:eastAsia="仿宋_GB2312" w:cs="仿宋_GB2312"/>
                <w:bCs/>
                <w:color w:val="auto"/>
                <w:sz w:val="22"/>
              </w:rPr>
              <w:t>1</w:t>
            </w:r>
            <w:r>
              <w:rPr>
                <w:rFonts w:hint="eastAsia" w:ascii="仿宋_GB2312" w:hAnsi="仿宋_GB2312" w:eastAsia="仿宋_GB2312" w:cs="仿宋_GB2312"/>
                <w:bCs/>
                <w:color w:val="auto"/>
                <w:sz w:val="22"/>
              </w:rPr>
              <w:t>4</w:t>
            </w:r>
            <w:r>
              <w:rPr>
                <w:rFonts w:ascii="仿宋_GB2312" w:hAnsi="仿宋_GB2312" w:eastAsia="仿宋_GB2312" w:cs="仿宋_GB2312"/>
                <w:bCs/>
                <w:color w:val="auto"/>
                <w:sz w:val="22"/>
              </w:rPr>
              <w:t>:00-1</w:t>
            </w:r>
            <w:r>
              <w:rPr>
                <w:rFonts w:hint="eastAsia" w:ascii="仿宋_GB2312" w:hAnsi="仿宋_GB2312" w:eastAsia="仿宋_GB2312" w:cs="仿宋_GB2312"/>
                <w:bCs/>
                <w:color w:val="auto"/>
                <w:sz w:val="22"/>
              </w:rPr>
              <w:t>5</w:t>
            </w:r>
            <w:r>
              <w:rPr>
                <w:rFonts w:ascii="仿宋_GB2312" w:hAnsi="仿宋_GB2312" w:eastAsia="仿宋_GB2312" w:cs="仿宋_GB2312"/>
                <w:bCs/>
                <w:color w:val="auto"/>
                <w:sz w:val="22"/>
              </w:rPr>
              <w:t>:30</w:t>
            </w:r>
          </w:p>
        </w:tc>
        <w:tc>
          <w:tcPr>
            <w:tcW w:w="2605" w:type="dxa"/>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图纸打印</w:t>
            </w:r>
          </w:p>
        </w:tc>
        <w:tc>
          <w:tcPr>
            <w:tcW w:w="1403" w:type="dxa"/>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2" w:type="dxa"/>
            <w:vAlign w:val="center"/>
          </w:tcPr>
          <w:p>
            <w:pPr>
              <w:spacing w:line="240" w:lineRule="auto"/>
              <w:ind w:firstLine="0" w:firstLineChars="0"/>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3" w:type="dxa"/>
            <w:vMerge w:val="continue"/>
            <w:tcBorders>
              <w:bottom w:val="single" w:color="auto" w:sz="8" w:space="0"/>
            </w:tcBorders>
          </w:tcPr>
          <w:p>
            <w:pPr>
              <w:spacing w:line="240" w:lineRule="auto"/>
              <w:ind w:firstLine="0" w:firstLineChars="0"/>
              <w:jc w:val="center"/>
              <w:rPr>
                <w:rFonts w:ascii="仿宋" w:hAnsi="仿宋" w:cs="仿宋"/>
                <w:color w:val="auto"/>
                <w:kern w:val="0"/>
                <w:sz w:val="22"/>
              </w:rPr>
            </w:pPr>
          </w:p>
        </w:tc>
        <w:tc>
          <w:tcPr>
            <w:tcW w:w="70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1701" w:type="dxa"/>
            <w:tcBorders>
              <w:left w:val="single" w:color="auto" w:sz="8" w:space="0"/>
              <w:bottom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ascii="仿宋_GB2312" w:hAnsi="仿宋_GB2312" w:eastAsia="仿宋_GB2312" w:cs="仿宋_GB2312"/>
                <w:bCs/>
                <w:color w:val="auto"/>
                <w:sz w:val="22"/>
              </w:rPr>
              <w:t>1</w:t>
            </w:r>
            <w:r>
              <w:rPr>
                <w:rFonts w:hint="eastAsia" w:ascii="仿宋_GB2312" w:hAnsi="仿宋_GB2312" w:eastAsia="仿宋_GB2312" w:cs="仿宋_GB2312"/>
                <w:bCs/>
                <w:color w:val="auto"/>
                <w:sz w:val="22"/>
              </w:rPr>
              <w:t>5</w:t>
            </w:r>
            <w:r>
              <w:rPr>
                <w:rFonts w:ascii="仿宋_GB2312" w:hAnsi="仿宋_GB2312" w:eastAsia="仿宋_GB2312" w:cs="仿宋_GB2312"/>
                <w:bCs/>
                <w:color w:val="auto"/>
                <w:sz w:val="22"/>
              </w:rPr>
              <w:t>:</w:t>
            </w:r>
            <w:r>
              <w:rPr>
                <w:rFonts w:hint="eastAsia" w:ascii="仿宋_GB2312" w:hAnsi="仿宋_GB2312" w:eastAsia="仿宋_GB2312" w:cs="仿宋_GB2312"/>
                <w:bCs/>
                <w:color w:val="auto"/>
                <w:sz w:val="22"/>
              </w:rPr>
              <w:t>3</w:t>
            </w:r>
            <w:r>
              <w:rPr>
                <w:rFonts w:ascii="仿宋_GB2312" w:hAnsi="仿宋_GB2312" w:eastAsia="仿宋_GB2312" w:cs="仿宋_GB2312"/>
                <w:bCs/>
                <w:color w:val="auto"/>
                <w:sz w:val="22"/>
              </w:rPr>
              <w:t>0-</w:t>
            </w:r>
            <w:r>
              <w:rPr>
                <w:rFonts w:hint="eastAsia" w:ascii="仿宋_GB2312" w:hAnsi="仿宋_GB2312" w:eastAsia="仿宋_GB2312" w:cs="仿宋_GB2312"/>
                <w:bCs/>
                <w:color w:val="auto"/>
                <w:sz w:val="22"/>
              </w:rPr>
              <w:t>20</w:t>
            </w:r>
            <w:r>
              <w:rPr>
                <w:rFonts w:ascii="仿宋_GB2312" w:hAnsi="仿宋_GB2312" w:eastAsia="仿宋_GB2312" w:cs="仿宋_GB2312"/>
                <w:bCs/>
                <w:color w:val="auto"/>
                <w:sz w:val="22"/>
              </w:rPr>
              <w:t>:30</w:t>
            </w:r>
          </w:p>
        </w:tc>
        <w:tc>
          <w:tcPr>
            <w:tcW w:w="2605" w:type="dxa"/>
            <w:tcBorders>
              <w:bottom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裁判评分</w:t>
            </w:r>
          </w:p>
        </w:tc>
        <w:tc>
          <w:tcPr>
            <w:tcW w:w="1403" w:type="dxa"/>
            <w:tcBorders>
              <w:bottom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2" w:type="dxa"/>
            <w:tcBorders>
              <w:bottom w:val="single" w:color="auto" w:sz="8" w:space="0"/>
            </w:tcBorders>
            <w:vAlign w:val="center"/>
          </w:tcPr>
          <w:p>
            <w:pPr>
              <w:spacing w:line="240" w:lineRule="auto"/>
              <w:ind w:firstLine="0" w:firstLineChars="0"/>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3" w:type="dxa"/>
            <w:vMerge w:val="continue"/>
            <w:tcBorders>
              <w:bottom w:val="single" w:color="auto" w:sz="8" w:space="0"/>
            </w:tcBorders>
          </w:tcPr>
          <w:p>
            <w:pPr>
              <w:spacing w:line="240" w:lineRule="auto"/>
              <w:ind w:firstLine="0" w:firstLineChars="0"/>
              <w:jc w:val="center"/>
              <w:rPr>
                <w:rFonts w:ascii="仿宋" w:hAnsi="仿宋" w:cs="仿宋"/>
                <w:color w:val="auto"/>
                <w:kern w:val="0"/>
                <w:sz w:val="22"/>
              </w:rPr>
            </w:pPr>
          </w:p>
        </w:tc>
        <w:tc>
          <w:tcPr>
            <w:tcW w:w="708" w:type="dxa"/>
            <w:vMerge w:val="restart"/>
            <w:tcBorders>
              <w:top w:val="single" w:color="auto" w:sz="8" w:space="0"/>
              <w:bottom w:val="single" w:color="auto" w:sz="8" w:space="0"/>
              <w:right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第</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3</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天</w:t>
            </w:r>
          </w:p>
        </w:tc>
        <w:tc>
          <w:tcPr>
            <w:tcW w:w="1701" w:type="dxa"/>
            <w:tcBorders>
              <w:top w:val="single" w:color="auto" w:sz="8" w:space="0"/>
              <w:left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ascii="仿宋_GB2312" w:hAnsi="仿宋_GB2312" w:eastAsia="仿宋_GB2312" w:cs="仿宋_GB2312"/>
                <w:bCs/>
                <w:color w:val="auto"/>
                <w:sz w:val="22"/>
              </w:rPr>
              <w:t>7:00-8:00</w:t>
            </w:r>
          </w:p>
        </w:tc>
        <w:tc>
          <w:tcPr>
            <w:tcW w:w="2605" w:type="dxa"/>
            <w:tcBorders>
              <w:top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ascii="仿宋_GB2312" w:hAnsi="仿宋_GB2312" w:eastAsia="仿宋_GB2312" w:cs="仿宋_GB2312"/>
                <w:bCs/>
                <w:color w:val="auto"/>
                <w:sz w:val="22"/>
              </w:rPr>
              <w:t>抽签、检录入场</w:t>
            </w:r>
          </w:p>
        </w:tc>
        <w:tc>
          <w:tcPr>
            <w:tcW w:w="1403" w:type="dxa"/>
            <w:tcBorders>
              <w:top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2" w:type="dxa"/>
            <w:tcBorders>
              <w:top w:val="single" w:color="auto" w:sz="8" w:space="0"/>
            </w:tcBorders>
            <w:vAlign w:val="center"/>
          </w:tcPr>
          <w:p>
            <w:pPr>
              <w:spacing w:line="240" w:lineRule="auto"/>
              <w:ind w:firstLine="0" w:firstLineChars="0"/>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3" w:type="dxa"/>
            <w:vMerge w:val="continue"/>
            <w:tcBorders>
              <w:bottom w:val="single" w:color="auto" w:sz="8" w:space="0"/>
            </w:tcBorders>
          </w:tcPr>
          <w:p>
            <w:pPr>
              <w:spacing w:line="240" w:lineRule="auto"/>
              <w:ind w:firstLine="0" w:firstLineChars="0"/>
              <w:jc w:val="center"/>
              <w:rPr>
                <w:rFonts w:ascii="仿宋" w:hAnsi="仿宋" w:cs="仿宋"/>
                <w:color w:val="auto"/>
                <w:kern w:val="0"/>
                <w:sz w:val="22"/>
              </w:rPr>
            </w:pPr>
          </w:p>
        </w:tc>
        <w:tc>
          <w:tcPr>
            <w:tcW w:w="70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1701" w:type="dxa"/>
            <w:tcBorders>
              <w:left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ascii="仿宋_GB2312" w:hAnsi="仿宋_GB2312" w:eastAsia="仿宋_GB2312" w:cs="仿宋_GB2312"/>
                <w:bCs/>
                <w:color w:val="auto"/>
                <w:sz w:val="22"/>
              </w:rPr>
              <w:t>8:00-8:30</w:t>
            </w:r>
          </w:p>
        </w:tc>
        <w:tc>
          <w:tcPr>
            <w:tcW w:w="2605" w:type="dxa"/>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检查竞赛设备</w:t>
            </w:r>
          </w:p>
        </w:tc>
        <w:tc>
          <w:tcPr>
            <w:tcW w:w="1403" w:type="dxa"/>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2" w:type="dxa"/>
            <w:vAlign w:val="center"/>
          </w:tcPr>
          <w:p>
            <w:pPr>
              <w:spacing w:line="240" w:lineRule="auto"/>
              <w:ind w:firstLine="0" w:firstLineChars="0"/>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3" w:type="dxa"/>
            <w:vMerge w:val="continue"/>
            <w:tcBorders>
              <w:bottom w:val="single" w:color="auto" w:sz="8" w:space="0"/>
            </w:tcBorders>
          </w:tcPr>
          <w:p>
            <w:pPr>
              <w:spacing w:line="240" w:lineRule="auto"/>
              <w:ind w:firstLine="0" w:firstLineChars="0"/>
              <w:jc w:val="center"/>
              <w:rPr>
                <w:rFonts w:ascii="仿宋" w:hAnsi="仿宋" w:cs="仿宋"/>
                <w:color w:val="auto"/>
                <w:kern w:val="0"/>
                <w:sz w:val="22"/>
              </w:rPr>
            </w:pPr>
          </w:p>
        </w:tc>
        <w:tc>
          <w:tcPr>
            <w:tcW w:w="70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1701" w:type="dxa"/>
            <w:tcBorders>
              <w:left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ascii="仿宋_GB2312" w:hAnsi="仿宋_GB2312" w:eastAsia="仿宋_GB2312" w:cs="仿宋_GB2312"/>
                <w:bCs/>
                <w:color w:val="auto"/>
                <w:sz w:val="22"/>
              </w:rPr>
              <w:t>8:30-1</w:t>
            </w:r>
            <w:r>
              <w:rPr>
                <w:rFonts w:hint="eastAsia" w:ascii="仿宋_GB2312" w:hAnsi="仿宋_GB2312" w:eastAsia="仿宋_GB2312" w:cs="仿宋_GB2312"/>
                <w:bCs/>
                <w:color w:val="auto"/>
                <w:sz w:val="22"/>
              </w:rPr>
              <w:t>5</w:t>
            </w:r>
            <w:r>
              <w:rPr>
                <w:rFonts w:ascii="仿宋_GB2312" w:hAnsi="仿宋_GB2312" w:eastAsia="仿宋_GB2312" w:cs="仿宋_GB2312"/>
                <w:bCs/>
                <w:color w:val="auto"/>
                <w:sz w:val="22"/>
              </w:rPr>
              <w:t>:</w:t>
            </w:r>
            <w:r>
              <w:rPr>
                <w:rFonts w:hint="eastAsia" w:ascii="仿宋_GB2312" w:hAnsi="仿宋_GB2312" w:eastAsia="仿宋_GB2312" w:cs="仿宋_GB2312"/>
                <w:bCs/>
                <w:color w:val="auto"/>
                <w:sz w:val="22"/>
              </w:rPr>
              <w:t>0</w:t>
            </w:r>
            <w:r>
              <w:rPr>
                <w:rFonts w:ascii="仿宋_GB2312" w:hAnsi="仿宋_GB2312" w:eastAsia="仿宋_GB2312" w:cs="仿宋_GB2312"/>
                <w:bCs/>
                <w:color w:val="auto"/>
                <w:sz w:val="22"/>
              </w:rPr>
              <w:t xml:space="preserve">0 </w:t>
            </w:r>
          </w:p>
        </w:tc>
        <w:tc>
          <w:tcPr>
            <w:tcW w:w="2605" w:type="dxa"/>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
                <w:color w:val="auto"/>
                <w:sz w:val="22"/>
              </w:rPr>
              <w:t>技能操作竞赛</w:t>
            </w:r>
          </w:p>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（含午餐30分钟）</w:t>
            </w:r>
          </w:p>
        </w:tc>
        <w:tc>
          <w:tcPr>
            <w:tcW w:w="1403" w:type="dxa"/>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2" w:type="dxa"/>
            <w:vAlign w:val="center"/>
          </w:tcPr>
          <w:p>
            <w:pPr>
              <w:spacing w:line="240" w:lineRule="auto"/>
              <w:ind w:firstLine="0" w:firstLineChars="0"/>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3" w:type="dxa"/>
            <w:vMerge w:val="continue"/>
            <w:tcBorders>
              <w:bottom w:val="single" w:color="auto" w:sz="8" w:space="0"/>
            </w:tcBorders>
          </w:tcPr>
          <w:p>
            <w:pPr>
              <w:spacing w:line="240" w:lineRule="auto"/>
              <w:ind w:firstLine="0" w:firstLineChars="0"/>
              <w:jc w:val="center"/>
              <w:rPr>
                <w:rFonts w:ascii="仿宋" w:hAnsi="仿宋" w:cs="仿宋"/>
                <w:color w:val="auto"/>
                <w:kern w:val="0"/>
                <w:sz w:val="22"/>
              </w:rPr>
            </w:pPr>
          </w:p>
        </w:tc>
        <w:tc>
          <w:tcPr>
            <w:tcW w:w="70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1701" w:type="dxa"/>
            <w:tcBorders>
              <w:left w:val="single" w:color="auto" w:sz="8" w:space="0"/>
              <w:bottom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15</w:t>
            </w:r>
            <w:r>
              <w:rPr>
                <w:rFonts w:ascii="仿宋_GB2312" w:hAnsi="仿宋_GB2312" w:eastAsia="仿宋_GB2312" w:cs="仿宋_GB2312"/>
                <w:bCs/>
                <w:color w:val="auto"/>
                <w:sz w:val="22"/>
              </w:rPr>
              <w:t>:30-</w:t>
            </w:r>
            <w:r>
              <w:rPr>
                <w:rFonts w:hint="eastAsia" w:ascii="仿宋_GB2312" w:hAnsi="仿宋_GB2312" w:eastAsia="仿宋_GB2312" w:cs="仿宋_GB2312"/>
                <w:bCs/>
                <w:color w:val="auto"/>
                <w:sz w:val="22"/>
              </w:rPr>
              <w:t>20</w:t>
            </w:r>
            <w:r>
              <w:rPr>
                <w:rFonts w:ascii="仿宋_GB2312" w:hAnsi="仿宋_GB2312" w:eastAsia="仿宋_GB2312" w:cs="仿宋_GB2312"/>
                <w:bCs/>
                <w:color w:val="auto"/>
                <w:sz w:val="22"/>
              </w:rPr>
              <w:t>:</w:t>
            </w:r>
            <w:r>
              <w:rPr>
                <w:rFonts w:hint="eastAsia" w:ascii="仿宋_GB2312" w:hAnsi="仿宋_GB2312" w:eastAsia="仿宋_GB2312" w:cs="仿宋_GB2312"/>
                <w:bCs/>
                <w:color w:val="auto"/>
                <w:sz w:val="22"/>
              </w:rPr>
              <w:t>0</w:t>
            </w:r>
            <w:r>
              <w:rPr>
                <w:rFonts w:ascii="仿宋_GB2312" w:hAnsi="仿宋_GB2312" w:eastAsia="仿宋_GB2312" w:cs="仿宋_GB2312"/>
                <w:bCs/>
                <w:color w:val="auto"/>
                <w:sz w:val="22"/>
              </w:rPr>
              <w:t>0</w:t>
            </w:r>
          </w:p>
        </w:tc>
        <w:tc>
          <w:tcPr>
            <w:tcW w:w="2605" w:type="dxa"/>
            <w:tcBorders>
              <w:bottom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裁判评分</w:t>
            </w:r>
          </w:p>
        </w:tc>
        <w:tc>
          <w:tcPr>
            <w:tcW w:w="1403" w:type="dxa"/>
            <w:tcBorders>
              <w:bottom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2" w:type="dxa"/>
            <w:tcBorders>
              <w:bottom w:val="single" w:color="auto" w:sz="8" w:space="0"/>
            </w:tcBorders>
            <w:vAlign w:val="center"/>
          </w:tcPr>
          <w:p>
            <w:pPr>
              <w:spacing w:line="240" w:lineRule="auto"/>
              <w:ind w:firstLine="0" w:firstLineChars="0"/>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853" w:type="dxa"/>
            <w:vMerge w:val="restart"/>
            <w:tcBorders>
              <w:bottom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赛后</w:t>
            </w:r>
          </w:p>
        </w:tc>
        <w:tc>
          <w:tcPr>
            <w:tcW w:w="708" w:type="dxa"/>
            <w:vMerge w:val="restart"/>
            <w:tcBorders>
              <w:top w:val="single" w:color="auto" w:sz="8" w:space="0"/>
              <w:bottom w:val="single" w:color="auto" w:sz="8" w:space="0"/>
              <w:right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第</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4</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天</w:t>
            </w:r>
          </w:p>
        </w:tc>
        <w:tc>
          <w:tcPr>
            <w:tcW w:w="1701" w:type="dxa"/>
            <w:tcBorders>
              <w:top w:val="single" w:color="auto" w:sz="8" w:space="0"/>
              <w:left w:val="single" w:color="auto" w:sz="8" w:space="0"/>
            </w:tcBorders>
            <w:vAlign w:val="center"/>
          </w:tcPr>
          <w:p>
            <w:pPr>
              <w:pStyle w:val="16"/>
              <w:autoSpaceDE/>
              <w:autoSpaceDN/>
              <w:adjustRightInd/>
              <w:jc w:val="both"/>
              <w:rPr>
                <w:rFonts w:ascii="仿宋" w:hAnsi="仿宋" w:eastAsia="仿宋" w:cs="仿宋"/>
                <w:bCs/>
                <w:color w:val="auto"/>
                <w:kern w:val="2"/>
                <w:sz w:val="22"/>
                <w:szCs w:val="22"/>
              </w:rPr>
            </w:pPr>
            <w:r>
              <w:rPr>
                <w:rFonts w:hint="eastAsia" w:ascii="仿宋" w:hAnsi="仿宋" w:eastAsia="仿宋" w:cs="仿宋"/>
                <w:bCs/>
                <w:color w:val="auto"/>
                <w:kern w:val="2"/>
                <w:sz w:val="22"/>
                <w:szCs w:val="22"/>
              </w:rPr>
              <w:t>16:30-17:30</w:t>
            </w:r>
          </w:p>
        </w:tc>
        <w:tc>
          <w:tcPr>
            <w:tcW w:w="2605" w:type="dxa"/>
            <w:tcBorders>
              <w:top w:val="single" w:color="auto" w:sz="8" w:space="0"/>
            </w:tcBorders>
            <w:vAlign w:val="center"/>
          </w:tcPr>
          <w:p>
            <w:pPr>
              <w:pStyle w:val="16"/>
              <w:autoSpaceDE/>
              <w:autoSpaceDN/>
              <w:adjustRightInd/>
              <w:jc w:val="both"/>
              <w:rPr>
                <w:rFonts w:ascii="仿宋" w:hAnsi="仿宋" w:eastAsia="仿宋" w:cs="仿宋"/>
                <w:bCs/>
                <w:color w:val="auto"/>
                <w:kern w:val="2"/>
                <w:sz w:val="22"/>
                <w:szCs w:val="22"/>
              </w:rPr>
            </w:pPr>
            <w:r>
              <w:rPr>
                <w:rFonts w:hint="eastAsia" w:ascii="仿宋" w:hAnsi="仿宋" w:eastAsia="仿宋" w:cs="仿宋"/>
                <w:bCs/>
                <w:color w:val="auto"/>
                <w:kern w:val="2"/>
                <w:sz w:val="22"/>
                <w:szCs w:val="22"/>
              </w:rPr>
              <w:t>解密，汇总成绩，公示</w:t>
            </w:r>
          </w:p>
        </w:tc>
        <w:tc>
          <w:tcPr>
            <w:tcW w:w="1403" w:type="dxa"/>
            <w:tcBorders>
              <w:top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监督组</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仲裁组</w:t>
            </w:r>
          </w:p>
        </w:tc>
        <w:tc>
          <w:tcPr>
            <w:tcW w:w="1092" w:type="dxa"/>
            <w:tcBorders>
              <w:top w:val="single" w:color="auto" w:sz="8" w:space="0"/>
            </w:tcBorders>
            <w:vAlign w:val="center"/>
          </w:tcPr>
          <w:p>
            <w:pPr>
              <w:spacing w:line="240" w:lineRule="auto"/>
              <w:ind w:firstLine="0" w:firstLineChars="0"/>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853" w:type="dxa"/>
            <w:vMerge w:val="continue"/>
            <w:tcBorders>
              <w:bottom w:val="single" w:color="auto" w:sz="8" w:space="0"/>
            </w:tcBorders>
          </w:tcPr>
          <w:p>
            <w:pPr>
              <w:spacing w:line="240" w:lineRule="auto"/>
              <w:ind w:firstLine="440"/>
              <w:rPr>
                <w:rFonts w:ascii="仿宋" w:hAnsi="仿宋" w:cs="仿宋"/>
                <w:color w:val="auto"/>
                <w:kern w:val="0"/>
                <w:sz w:val="22"/>
              </w:rPr>
            </w:pPr>
          </w:p>
        </w:tc>
        <w:tc>
          <w:tcPr>
            <w:tcW w:w="708" w:type="dxa"/>
            <w:vMerge w:val="continue"/>
            <w:tcBorders>
              <w:bottom w:val="single" w:color="auto" w:sz="8" w:space="0"/>
              <w:right w:val="single" w:color="auto" w:sz="8" w:space="0"/>
            </w:tcBorders>
          </w:tcPr>
          <w:p>
            <w:pPr>
              <w:spacing w:line="240" w:lineRule="auto"/>
              <w:ind w:firstLine="440"/>
              <w:rPr>
                <w:rFonts w:ascii="仿宋" w:hAnsi="仿宋" w:cs="仿宋"/>
                <w:color w:val="auto"/>
                <w:kern w:val="0"/>
                <w:sz w:val="22"/>
              </w:rPr>
            </w:pPr>
          </w:p>
        </w:tc>
        <w:tc>
          <w:tcPr>
            <w:tcW w:w="1701" w:type="dxa"/>
            <w:tcBorders>
              <w:left w:val="single" w:color="auto" w:sz="8" w:space="0"/>
            </w:tcBorders>
            <w:vAlign w:val="center"/>
          </w:tcPr>
          <w:p>
            <w:pPr>
              <w:pStyle w:val="16"/>
              <w:autoSpaceDE/>
              <w:autoSpaceDN/>
              <w:adjustRightInd/>
              <w:jc w:val="both"/>
              <w:rPr>
                <w:rFonts w:ascii="仿宋" w:hAnsi="仿宋" w:eastAsia="仿宋" w:cs="仿宋"/>
                <w:bCs/>
                <w:color w:val="auto"/>
                <w:kern w:val="2"/>
                <w:sz w:val="22"/>
                <w:szCs w:val="22"/>
              </w:rPr>
            </w:pPr>
            <w:r>
              <w:rPr>
                <w:rFonts w:hint="eastAsia" w:ascii="仿宋" w:hAnsi="仿宋" w:eastAsia="仿宋" w:cs="仿宋"/>
                <w:bCs/>
                <w:color w:val="auto"/>
                <w:kern w:val="2"/>
                <w:sz w:val="22"/>
                <w:szCs w:val="22"/>
              </w:rPr>
              <w:t>19:30-20:00</w:t>
            </w:r>
          </w:p>
        </w:tc>
        <w:tc>
          <w:tcPr>
            <w:tcW w:w="2605" w:type="dxa"/>
            <w:vAlign w:val="center"/>
          </w:tcPr>
          <w:p>
            <w:pPr>
              <w:pStyle w:val="16"/>
              <w:autoSpaceDE/>
              <w:autoSpaceDN/>
              <w:adjustRightInd/>
              <w:jc w:val="both"/>
              <w:rPr>
                <w:rFonts w:ascii="仿宋" w:hAnsi="仿宋" w:eastAsia="仿宋" w:cs="仿宋"/>
                <w:bCs/>
                <w:color w:val="auto"/>
                <w:kern w:val="2"/>
                <w:sz w:val="22"/>
                <w:szCs w:val="22"/>
              </w:rPr>
            </w:pPr>
            <w:r>
              <w:rPr>
                <w:rFonts w:hint="eastAsia" w:ascii="仿宋" w:hAnsi="仿宋" w:eastAsia="仿宋" w:cs="仿宋"/>
                <w:bCs/>
                <w:color w:val="auto"/>
                <w:kern w:val="2"/>
                <w:sz w:val="22"/>
                <w:szCs w:val="22"/>
              </w:rPr>
              <w:t>成绩发布会</w:t>
            </w:r>
          </w:p>
          <w:p>
            <w:pPr>
              <w:pStyle w:val="16"/>
              <w:autoSpaceDE/>
              <w:autoSpaceDN/>
              <w:adjustRightInd/>
              <w:jc w:val="both"/>
              <w:rPr>
                <w:rFonts w:ascii="仿宋" w:hAnsi="仿宋" w:eastAsia="仿宋" w:cs="仿宋"/>
                <w:bCs/>
                <w:color w:val="auto"/>
                <w:kern w:val="2"/>
                <w:sz w:val="22"/>
                <w:szCs w:val="22"/>
              </w:rPr>
            </w:pPr>
            <w:r>
              <w:rPr>
                <w:rFonts w:hint="eastAsia" w:ascii="仿宋" w:hAnsi="仿宋" w:eastAsia="仿宋" w:cs="仿宋"/>
                <w:bCs/>
                <w:color w:val="auto"/>
                <w:kern w:val="2"/>
                <w:sz w:val="22"/>
                <w:szCs w:val="22"/>
              </w:rPr>
              <w:t>宣布省集训队名单</w:t>
            </w:r>
          </w:p>
        </w:tc>
        <w:tc>
          <w:tcPr>
            <w:tcW w:w="1403" w:type="dxa"/>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监督组</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仲裁组</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专家组</w:t>
            </w:r>
          </w:p>
        </w:tc>
        <w:tc>
          <w:tcPr>
            <w:tcW w:w="1092" w:type="dxa"/>
            <w:vAlign w:val="center"/>
          </w:tcPr>
          <w:p>
            <w:pPr>
              <w:spacing w:line="240" w:lineRule="auto"/>
              <w:ind w:firstLine="0" w:firstLineChars="0"/>
              <w:rPr>
                <w:rFonts w:ascii="仿宋" w:hAnsi="仿宋" w:cs="仿宋"/>
                <w:color w:val="auto"/>
                <w:kern w:val="0"/>
                <w:sz w:val="22"/>
              </w:rPr>
            </w:pPr>
          </w:p>
        </w:tc>
      </w:tr>
    </w:tbl>
    <w:p>
      <w:pPr>
        <w:ind w:firstLine="480"/>
        <w:rPr>
          <w:rFonts w:ascii="仿宋" w:hAnsi="仿宋" w:cs="仿宋"/>
          <w:color w:val="auto"/>
          <w:szCs w:val="24"/>
        </w:rPr>
      </w:pPr>
      <w:r>
        <w:rPr>
          <w:rFonts w:hint="eastAsia" w:ascii="仿宋" w:hAnsi="仿宋" w:cs="仿宋"/>
          <w:color w:val="auto"/>
          <w:szCs w:val="24"/>
        </w:rPr>
        <w:t>2. 学生组竞赛流程图</w:t>
      </w:r>
    </w:p>
    <w:p>
      <w:pPr>
        <w:ind w:firstLine="480"/>
        <w:rPr>
          <w:rFonts w:ascii="仿宋" w:hAnsi="仿宋" w:cs="仿宋"/>
          <w:color w:val="auto"/>
          <w:szCs w:val="24"/>
        </w:rPr>
      </w:pPr>
      <w:r>
        <w:rPr>
          <w:rFonts w:hint="eastAsia" w:ascii="仿宋" w:hAnsi="仿宋" w:cs="仿宋"/>
          <w:color w:val="auto"/>
          <w:szCs w:val="24"/>
        </w:rPr>
        <w:t>如图1.所示：</w:t>
      </w:r>
    </w:p>
    <w:p>
      <w:pPr>
        <w:ind w:firstLine="0" w:firstLineChars="0"/>
        <w:jc w:val="center"/>
        <w:rPr>
          <w:rFonts w:ascii="仿宋" w:hAnsi="仿宋" w:cs="仿宋"/>
          <w:color w:val="auto"/>
          <w:szCs w:val="24"/>
        </w:rPr>
      </w:pPr>
      <w:r>
        <w:rPr>
          <w:rFonts w:hint="eastAsia" w:ascii="仿宋" w:hAnsi="仿宋" w:cs="仿宋"/>
          <w:color w:val="auto"/>
          <w:szCs w:val="24"/>
        </w:rPr>
        <w:drawing>
          <wp:inline distT="0" distB="0" distL="114300" distR="114300">
            <wp:extent cx="4908550" cy="2857500"/>
            <wp:effectExtent l="0" t="0" r="6350" b="0"/>
            <wp:docPr id="1" name="图片 1" descr="166351489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63514896090"/>
                    <pic:cNvPicPr>
                      <a:picLocks noChangeAspect="1"/>
                    </pic:cNvPicPr>
                  </pic:nvPicPr>
                  <pic:blipFill>
                    <a:blip r:embed="rId12"/>
                    <a:stretch>
                      <a:fillRect/>
                    </a:stretch>
                  </pic:blipFill>
                  <pic:spPr>
                    <a:xfrm>
                      <a:off x="0" y="0"/>
                      <a:ext cx="4908550" cy="2857500"/>
                    </a:xfrm>
                    <a:prstGeom prst="rect">
                      <a:avLst/>
                    </a:prstGeom>
                  </pic:spPr>
                </pic:pic>
              </a:graphicData>
            </a:graphic>
          </wp:inline>
        </w:drawing>
      </w:r>
    </w:p>
    <w:p>
      <w:pPr>
        <w:ind w:firstLine="480"/>
        <w:jc w:val="center"/>
        <w:rPr>
          <w:rFonts w:ascii="仿宋" w:hAnsi="仿宋" w:cs="仿宋"/>
          <w:color w:val="auto"/>
          <w:szCs w:val="24"/>
        </w:rPr>
      </w:pPr>
      <w:r>
        <w:rPr>
          <w:rFonts w:hint="eastAsia" w:ascii="仿宋_GB2312" w:hAnsi="仿宋_GB2312" w:eastAsia="仿宋_GB2312" w:cs="仿宋_GB2312"/>
          <w:color w:val="auto"/>
          <w:szCs w:val="24"/>
        </w:rPr>
        <w:t xml:space="preserve">图1. </w:t>
      </w:r>
      <w:r>
        <w:rPr>
          <w:rFonts w:hint="eastAsia" w:ascii="仿宋" w:hAnsi="仿宋" w:cs="仿宋"/>
          <w:color w:val="auto"/>
          <w:szCs w:val="24"/>
        </w:rPr>
        <w:t>学生组建筑装饰技能赛项竞赛流程图</w:t>
      </w:r>
    </w:p>
    <w:p>
      <w:pPr>
        <w:ind w:firstLine="480"/>
        <w:rPr>
          <w:rFonts w:ascii="仿宋" w:hAnsi="仿宋" w:cs="仿宋"/>
          <w:color w:val="auto"/>
          <w:szCs w:val="24"/>
        </w:rPr>
      </w:pPr>
      <w:r>
        <w:rPr>
          <w:rFonts w:hint="eastAsia" w:ascii="仿宋" w:hAnsi="仿宋" w:cs="仿宋"/>
          <w:color w:val="auto"/>
          <w:szCs w:val="24"/>
        </w:rPr>
        <w:t>（二）教师组竞赛流程</w:t>
      </w:r>
    </w:p>
    <w:p>
      <w:pPr>
        <w:ind w:firstLine="480"/>
        <w:rPr>
          <w:rFonts w:ascii="仿宋" w:hAnsi="仿宋" w:cs="仿宋"/>
          <w:color w:val="auto"/>
          <w:szCs w:val="24"/>
        </w:rPr>
      </w:pPr>
      <w:r>
        <w:rPr>
          <w:rFonts w:hint="eastAsia" w:ascii="仿宋" w:hAnsi="仿宋" w:cs="仿宋"/>
          <w:color w:val="auto"/>
          <w:szCs w:val="24"/>
        </w:rPr>
        <w:t>1.教师组竞赛流程安排如表2所示：</w:t>
      </w:r>
    </w:p>
    <w:p>
      <w:pPr>
        <w:ind w:firstLine="480"/>
        <w:jc w:val="center"/>
        <w:rPr>
          <w:rFonts w:ascii="仿宋" w:hAnsi="仿宋" w:cs="仿宋"/>
          <w:color w:val="auto"/>
          <w:szCs w:val="24"/>
        </w:rPr>
      </w:pPr>
      <w:r>
        <w:rPr>
          <w:rFonts w:hint="eastAsia" w:ascii="仿宋" w:hAnsi="仿宋" w:cs="仿宋"/>
          <w:color w:val="auto"/>
          <w:szCs w:val="24"/>
        </w:rPr>
        <w:t>表2. 建筑装饰技能赛项教师组竞赛流程安排表</w:t>
      </w:r>
    </w:p>
    <w:tbl>
      <w:tblPr>
        <w:tblStyle w:val="1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750"/>
        <w:gridCol w:w="1594"/>
        <w:gridCol w:w="2624"/>
        <w:gridCol w:w="976"/>
        <w:gridCol w:w="10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8" w:type="dxa"/>
            <w:gridSpan w:val="2"/>
            <w:tcBorders>
              <w:top w:val="single" w:color="auto" w:sz="8" w:space="0"/>
              <w:bottom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竞赛阶段</w:t>
            </w:r>
          </w:p>
        </w:tc>
        <w:tc>
          <w:tcPr>
            <w:tcW w:w="1594" w:type="dxa"/>
            <w:tcBorders>
              <w:top w:val="single" w:color="auto" w:sz="8" w:space="0"/>
              <w:bottom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时间安排</w:t>
            </w:r>
          </w:p>
        </w:tc>
        <w:tc>
          <w:tcPr>
            <w:tcW w:w="2624" w:type="dxa"/>
            <w:tcBorders>
              <w:top w:val="single" w:color="auto" w:sz="8" w:space="0"/>
              <w:bottom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工作内容</w:t>
            </w:r>
          </w:p>
        </w:tc>
        <w:tc>
          <w:tcPr>
            <w:tcW w:w="976" w:type="dxa"/>
            <w:tcBorders>
              <w:top w:val="single" w:color="auto" w:sz="8" w:space="0"/>
              <w:bottom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责任方</w:t>
            </w:r>
          </w:p>
        </w:tc>
        <w:tc>
          <w:tcPr>
            <w:tcW w:w="1094" w:type="dxa"/>
            <w:tcBorders>
              <w:top w:val="single" w:color="auto" w:sz="8" w:space="0"/>
              <w:bottom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8" w:type="dxa"/>
            <w:vMerge w:val="restart"/>
            <w:tcBorders>
              <w:top w:val="single" w:color="auto" w:sz="8" w:space="0"/>
              <w:bottom w:val="single" w:color="auto" w:sz="8" w:space="0"/>
              <w:right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赛前</w:t>
            </w:r>
          </w:p>
        </w:tc>
        <w:tc>
          <w:tcPr>
            <w:tcW w:w="750" w:type="dxa"/>
            <w:vMerge w:val="restart"/>
            <w:tcBorders>
              <w:top w:val="single" w:color="auto" w:sz="8" w:space="0"/>
              <w:left w:val="single" w:color="auto" w:sz="8" w:space="0"/>
              <w:bottom w:val="single" w:color="auto" w:sz="4"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第</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1</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天</w:t>
            </w:r>
          </w:p>
        </w:tc>
        <w:tc>
          <w:tcPr>
            <w:tcW w:w="1594" w:type="dxa"/>
            <w:tcBorders>
              <w:top w:val="single" w:color="auto" w:sz="8" w:space="0"/>
              <w:bottom w:val="single" w:color="auto" w:sz="4" w:space="0"/>
            </w:tcBorders>
            <w:vAlign w:val="center"/>
          </w:tcPr>
          <w:p>
            <w:pPr>
              <w:pStyle w:val="16"/>
              <w:autoSpaceDE/>
              <w:autoSpaceDN/>
              <w:adjustRightInd/>
              <w:jc w:val="both"/>
              <w:rPr>
                <w:rFonts w:ascii="仿宋" w:hAnsi="仿宋" w:eastAsia="仿宋" w:cs="仿宋"/>
                <w:bCs/>
                <w:color w:val="auto"/>
                <w:kern w:val="2"/>
                <w:sz w:val="22"/>
                <w:szCs w:val="22"/>
              </w:rPr>
            </w:pPr>
            <w:r>
              <w:rPr>
                <w:rFonts w:hint="eastAsia" w:ascii="仿宋" w:hAnsi="仿宋" w:eastAsia="仿宋" w:cs="仿宋"/>
                <w:bCs/>
                <w:color w:val="auto"/>
                <w:kern w:val="2"/>
                <w:sz w:val="22"/>
                <w:szCs w:val="22"/>
              </w:rPr>
              <w:t>8:00-11:30</w:t>
            </w:r>
          </w:p>
        </w:tc>
        <w:tc>
          <w:tcPr>
            <w:tcW w:w="2624" w:type="dxa"/>
            <w:tcBorders>
              <w:top w:val="single" w:color="auto" w:sz="8" w:space="0"/>
              <w:bottom w:val="single" w:color="auto" w:sz="4" w:space="0"/>
            </w:tcBorders>
            <w:vAlign w:val="center"/>
          </w:tcPr>
          <w:p>
            <w:pPr>
              <w:pStyle w:val="16"/>
              <w:autoSpaceDE/>
              <w:autoSpaceDN/>
              <w:adjustRightInd/>
              <w:jc w:val="both"/>
              <w:rPr>
                <w:rFonts w:ascii="仿宋" w:hAnsi="仿宋" w:eastAsia="仿宋" w:cs="仿宋"/>
                <w:bCs/>
                <w:color w:val="auto"/>
                <w:kern w:val="2"/>
                <w:sz w:val="22"/>
                <w:szCs w:val="22"/>
              </w:rPr>
            </w:pPr>
            <w:r>
              <w:rPr>
                <w:rFonts w:hint="eastAsia" w:ascii="仿宋" w:hAnsi="仿宋" w:eastAsia="仿宋" w:cs="仿宋"/>
                <w:bCs/>
                <w:color w:val="auto"/>
                <w:kern w:val="2"/>
                <w:sz w:val="22"/>
                <w:szCs w:val="22"/>
              </w:rPr>
              <w:t>报到</w:t>
            </w:r>
          </w:p>
        </w:tc>
        <w:tc>
          <w:tcPr>
            <w:tcW w:w="976" w:type="dxa"/>
            <w:tcBorders>
              <w:top w:val="single" w:color="auto" w:sz="8" w:space="0"/>
              <w:bottom w:val="single" w:color="auto" w:sz="4"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承办校</w:t>
            </w:r>
          </w:p>
        </w:tc>
        <w:tc>
          <w:tcPr>
            <w:tcW w:w="1094" w:type="dxa"/>
            <w:tcBorders>
              <w:top w:val="single" w:color="auto" w:sz="8" w:space="0"/>
              <w:bottom w:val="single" w:color="auto" w:sz="4" w:space="0"/>
            </w:tcBorders>
            <w:vAlign w:val="center"/>
          </w:tcPr>
          <w:p>
            <w:pPr>
              <w:spacing w:line="240" w:lineRule="auto"/>
              <w:ind w:firstLine="0" w:firstLineChars="0"/>
              <w:jc w:val="center"/>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8" w:type="dxa"/>
            <w:vMerge w:val="continue"/>
            <w:tcBorders>
              <w:top w:val="single" w:color="auto" w:sz="4" w:space="0"/>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750" w:type="dxa"/>
            <w:vMerge w:val="continue"/>
            <w:tcBorders>
              <w:top w:val="single" w:color="auto" w:sz="4" w:space="0"/>
              <w:left w:val="single" w:color="auto" w:sz="8" w:space="0"/>
              <w:bottom w:val="single" w:color="auto" w:sz="4" w:space="0"/>
            </w:tcBorders>
          </w:tcPr>
          <w:p>
            <w:pPr>
              <w:spacing w:line="240" w:lineRule="auto"/>
              <w:ind w:firstLine="0" w:firstLineChars="0"/>
              <w:jc w:val="center"/>
              <w:rPr>
                <w:rFonts w:ascii="仿宋" w:hAnsi="仿宋" w:cs="仿宋"/>
                <w:color w:val="auto"/>
                <w:kern w:val="0"/>
                <w:sz w:val="22"/>
              </w:rPr>
            </w:pPr>
          </w:p>
        </w:tc>
        <w:tc>
          <w:tcPr>
            <w:tcW w:w="1594" w:type="dxa"/>
            <w:tcBorders>
              <w:top w:val="single" w:color="auto" w:sz="4" w:space="0"/>
              <w:bottom w:val="single" w:color="auto" w:sz="4" w:space="0"/>
            </w:tcBorders>
            <w:vAlign w:val="center"/>
          </w:tcPr>
          <w:p>
            <w:pPr>
              <w:pStyle w:val="16"/>
              <w:autoSpaceDE/>
              <w:autoSpaceDN/>
              <w:adjustRightInd/>
              <w:jc w:val="both"/>
              <w:rPr>
                <w:rFonts w:ascii="仿宋" w:hAnsi="仿宋" w:eastAsia="仿宋" w:cs="仿宋"/>
                <w:bCs/>
                <w:color w:val="auto"/>
                <w:kern w:val="2"/>
                <w:sz w:val="22"/>
                <w:szCs w:val="22"/>
              </w:rPr>
            </w:pPr>
            <w:r>
              <w:rPr>
                <w:rFonts w:hint="eastAsia" w:ascii="仿宋" w:hAnsi="仿宋" w:eastAsia="仿宋" w:cs="仿宋"/>
                <w:bCs/>
                <w:color w:val="auto"/>
                <w:kern w:val="2"/>
                <w:sz w:val="22"/>
                <w:szCs w:val="22"/>
              </w:rPr>
              <w:t>14:00-15:00</w:t>
            </w:r>
          </w:p>
        </w:tc>
        <w:tc>
          <w:tcPr>
            <w:tcW w:w="2624" w:type="dxa"/>
            <w:tcBorders>
              <w:top w:val="single" w:color="auto" w:sz="4" w:space="0"/>
              <w:bottom w:val="single" w:color="auto" w:sz="4" w:space="0"/>
            </w:tcBorders>
            <w:vAlign w:val="center"/>
          </w:tcPr>
          <w:p>
            <w:pPr>
              <w:pStyle w:val="16"/>
              <w:autoSpaceDE/>
              <w:autoSpaceDN/>
              <w:adjustRightInd/>
              <w:jc w:val="both"/>
              <w:rPr>
                <w:rFonts w:ascii="仿宋" w:hAnsi="仿宋" w:eastAsia="仿宋" w:cs="仿宋"/>
                <w:bCs/>
                <w:color w:val="auto"/>
                <w:kern w:val="2"/>
                <w:sz w:val="22"/>
                <w:szCs w:val="22"/>
              </w:rPr>
            </w:pPr>
            <w:r>
              <w:rPr>
                <w:rFonts w:hint="eastAsia" w:ascii="仿宋" w:hAnsi="仿宋" w:eastAsia="仿宋" w:cs="仿宋"/>
                <w:bCs/>
                <w:color w:val="auto"/>
                <w:kern w:val="2"/>
                <w:sz w:val="22"/>
                <w:szCs w:val="22"/>
              </w:rPr>
              <w:t>领队会</w:t>
            </w:r>
          </w:p>
        </w:tc>
        <w:tc>
          <w:tcPr>
            <w:tcW w:w="976" w:type="dxa"/>
            <w:tcBorders>
              <w:top w:val="single" w:color="auto" w:sz="4" w:space="0"/>
              <w:bottom w:val="single" w:color="auto" w:sz="4"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监督组</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专家组</w:t>
            </w:r>
          </w:p>
        </w:tc>
        <w:tc>
          <w:tcPr>
            <w:tcW w:w="1094" w:type="dxa"/>
            <w:tcBorders>
              <w:top w:val="single" w:color="auto" w:sz="4" w:space="0"/>
              <w:bottom w:val="single" w:color="auto" w:sz="4" w:space="0"/>
            </w:tcBorders>
            <w:vAlign w:val="center"/>
          </w:tcPr>
          <w:p>
            <w:pPr>
              <w:spacing w:line="240" w:lineRule="auto"/>
              <w:ind w:firstLine="0" w:firstLineChars="0"/>
              <w:jc w:val="center"/>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8" w:type="dxa"/>
            <w:vMerge w:val="continue"/>
            <w:tcBorders>
              <w:top w:val="single" w:color="auto" w:sz="4" w:space="0"/>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750" w:type="dxa"/>
            <w:vMerge w:val="continue"/>
            <w:tcBorders>
              <w:top w:val="single" w:color="auto" w:sz="4" w:space="0"/>
              <w:left w:val="single" w:color="auto" w:sz="8" w:space="0"/>
              <w:bottom w:val="single" w:color="auto" w:sz="4" w:space="0"/>
            </w:tcBorders>
          </w:tcPr>
          <w:p>
            <w:pPr>
              <w:spacing w:line="240" w:lineRule="auto"/>
              <w:ind w:firstLine="0" w:firstLineChars="0"/>
              <w:jc w:val="center"/>
              <w:rPr>
                <w:rFonts w:ascii="仿宋" w:hAnsi="仿宋" w:cs="仿宋"/>
                <w:color w:val="auto"/>
                <w:kern w:val="0"/>
                <w:sz w:val="22"/>
              </w:rPr>
            </w:pPr>
          </w:p>
        </w:tc>
        <w:tc>
          <w:tcPr>
            <w:tcW w:w="1594" w:type="dxa"/>
            <w:tcBorders>
              <w:top w:val="single" w:color="auto" w:sz="4" w:space="0"/>
              <w:bottom w:val="single" w:color="auto" w:sz="4" w:space="0"/>
            </w:tcBorders>
            <w:vAlign w:val="center"/>
          </w:tcPr>
          <w:p>
            <w:pPr>
              <w:pStyle w:val="16"/>
              <w:autoSpaceDE/>
              <w:autoSpaceDN/>
              <w:adjustRightInd/>
              <w:jc w:val="both"/>
              <w:rPr>
                <w:rFonts w:ascii="仿宋" w:hAnsi="仿宋" w:eastAsia="仿宋" w:cs="仿宋"/>
                <w:bCs/>
                <w:color w:val="auto"/>
                <w:kern w:val="2"/>
                <w:sz w:val="22"/>
                <w:szCs w:val="22"/>
              </w:rPr>
            </w:pPr>
            <w:r>
              <w:rPr>
                <w:rFonts w:hint="eastAsia" w:ascii="仿宋" w:hAnsi="仿宋" w:eastAsia="仿宋" w:cs="仿宋"/>
                <w:bCs/>
                <w:color w:val="auto"/>
                <w:kern w:val="2"/>
                <w:sz w:val="22"/>
                <w:szCs w:val="22"/>
              </w:rPr>
              <w:t>15:00-16:00</w:t>
            </w:r>
          </w:p>
        </w:tc>
        <w:tc>
          <w:tcPr>
            <w:tcW w:w="2624" w:type="dxa"/>
            <w:tcBorders>
              <w:top w:val="single" w:color="auto" w:sz="4" w:space="0"/>
              <w:bottom w:val="single" w:color="auto" w:sz="4" w:space="0"/>
            </w:tcBorders>
            <w:vAlign w:val="center"/>
          </w:tcPr>
          <w:p>
            <w:pPr>
              <w:pStyle w:val="16"/>
              <w:autoSpaceDE/>
              <w:autoSpaceDN/>
              <w:adjustRightInd/>
              <w:jc w:val="both"/>
              <w:rPr>
                <w:rFonts w:ascii="仿宋" w:hAnsi="仿宋" w:eastAsia="仿宋" w:cs="仿宋"/>
                <w:bCs/>
                <w:color w:val="auto"/>
                <w:kern w:val="2"/>
                <w:sz w:val="22"/>
                <w:szCs w:val="22"/>
              </w:rPr>
            </w:pPr>
            <w:r>
              <w:rPr>
                <w:rFonts w:hint="eastAsia" w:ascii="仿宋" w:hAnsi="仿宋" w:eastAsia="仿宋" w:cs="仿宋"/>
                <w:bCs/>
                <w:color w:val="auto"/>
                <w:kern w:val="2"/>
                <w:sz w:val="22"/>
                <w:szCs w:val="22"/>
              </w:rPr>
              <w:t>熟悉赛场</w:t>
            </w:r>
          </w:p>
        </w:tc>
        <w:tc>
          <w:tcPr>
            <w:tcW w:w="976" w:type="dxa"/>
            <w:tcBorders>
              <w:top w:val="single" w:color="auto" w:sz="4" w:space="0"/>
              <w:bottom w:val="single" w:color="auto" w:sz="4"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4" w:type="dxa"/>
            <w:tcBorders>
              <w:top w:val="single" w:color="auto" w:sz="4" w:space="0"/>
              <w:bottom w:val="single" w:color="auto" w:sz="4" w:space="0"/>
            </w:tcBorders>
            <w:vAlign w:val="center"/>
          </w:tcPr>
          <w:p>
            <w:pPr>
              <w:spacing w:line="240" w:lineRule="auto"/>
              <w:ind w:firstLine="0" w:firstLineChars="0"/>
              <w:jc w:val="center"/>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8" w:type="dxa"/>
            <w:vMerge w:val="continue"/>
            <w:tcBorders>
              <w:top w:val="single" w:color="auto" w:sz="4" w:space="0"/>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750" w:type="dxa"/>
            <w:vMerge w:val="continue"/>
            <w:tcBorders>
              <w:top w:val="single" w:color="auto" w:sz="4" w:space="0"/>
              <w:left w:val="single" w:color="auto" w:sz="8" w:space="0"/>
              <w:bottom w:val="single" w:color="auto" w:sz="8" w:space="0"/>
            </w:tcBorders>
          </w:tcPr>
          <w:p>
            <w:pPr>
              <w:spacing w:line="240" w:lineRule="auto"/>
              <w:ind w:firstLine="0" w:firstLineChars="0"/>
              <w:jc w:val="center"/>
              <w:rPr>
                <w:rFonts w:ascii="仿宋" w:hAnsi="仿宋" w:cs="仿宋"/>
                <w:color w:val="auto"/>
                <w:kern w:val="0"/>
                <w:sz w:val="22"/>
              </w:rPr>
            </w:pPr>
          </w:p>
        </w:tc>
        <w:tc>
          <w:tcPr>
            <w:tcW w:w="1594" w:type="dxa"/>
            <w:tcBorders>
              <w:top w:val="single" w:color="auto" w:sz="4" w:space="0"/>
              <w:bottom w:val="single" w:color="auto" w:sz="8" w:space="0"/>
            </w:tcBorders>
            <w:vAlign w:val="center"/>
          </w:tcPr>
          <w:p>
            <w:pPr>
              <w:pStyle w:val="16"/>
              <w:autoSpaceDE/>
              <w:autoSpaceDN/>
              <w:adjustRightInd/>
              <w:jc w:val="both"/>
              <w:rPr>
                <w:rFonts w:ascii="仿宋" w:hAnsi="仿宋" w:eastAsia="仿宋" w:cs="仿宋"/>
                <w:bCs/>
                <w:color w:val="auto"/>
                <w:kern w:val="2"/>
                <w:sz w:val="22"/>
                <w:szCs w:val="22"/>
              </w:rPr>
            </w:pPr>
            <w:r>
              <w:rPr>
                <w:rFonts w:hint="eastAsia" w:ascii="仿宋" w:hAnsi="仿宋" w:eastAsia="仿宋" w:cs="仿宋"/>
                <w:bCs/>
                <w:color w:val="auto"/>
                <w:kern w:val="2"/>
                <w:sz w:val="22"/>
                <w:szCs w:val="22"/>
              </w:rPr>
              <w:t>14:00-16:00</w:t>
            </w:r>
          </w:p>
        </w:tc>
        <w:tc>
          <w:tcPr>
            <w:tcW w:w="2624" w:type="dxa"/>
            <w:tcBorders>
              <w:top w:val="single" w:color="auto" w:sz="4" w:space="0"/>
              <w:bottom w:val="single" w:color="auto" w:sz="8" w:space="0"/>
            </w:tcBorders>
            <w:vAlign w:val="center"/>
          </w:tcPr>
          <w:p>
            <w:pPr>
              <w:pStyle w:val="16"/>
              <w:autoSpaceDE/>
              <w:autoSpaceDN/>
              <w:adjustRightInd/>
              <w:jc w:val="both"/>
              <w:rPr>
                <w:rFonts w:ascii="仿宋" w:hAnsi="仿宋" w:eastAsia="仿宋" w:cs="仿宋"/>
                <w:bCs/>
                <w:color w:val="auto"/>
                <w:kern w:val="2"/>
                <w:sz w:val="22"/>
                <w:szCs w:val="22"/>
              </w:rPr>
            </w:pPr>
            <w:r>
              <w:rPr>
                <w:rFonts w:hint="eastAsia" w:ascii="仿宋" w:hAnsi="仿宋" w:eastAsia="仿宋" w:cs="仿宋"/>
                <w:bCs/>
                <w:color w:val="auto"/>
                <w:kern w:val="2"/>
                <w:sz w:val="22"/>
                <w:szCs w:val="22"/>
              </w:rPr>
              <w:t>裁判员会议</w:t>
            </w:r>
          </w:p>
        </w:tc>
        <w:tc>
          <w:tcPr>
            <w:tcW w:w="976" w:type="dxa"/>
            <w:tcBorders>
              <w:top w:val="single" w:color="auto" w:sz="4" w:space="0"/>
              <w:bottom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专家组</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仲裁组</w:t>
            </w:r>
          </w:p>
        </w:tc>
        <w:tc>
          <w:tcPr>
            <w:tcW w:w="1094" w:type="dxa"/>
            <w:tcBorders>
              <w:top w:val="single" w:color="auto" w:sz="4" w:space="0"/>
              <w:bottom w:val="single" w:color="auto" w:sz="8" w:space="0"/>
            </w:tcBorders>
            <w:vAlign w:val="center"/>
          </w:tcPr>
          <w:p>
            <w:pPr>
              <w:spacing w:line="240" w:lineRule="auto"/>
              <w:ind w:firstLine="0" w:firstLineChars="0"/>
              <w:jc w:val="center"/>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8" w:type="dxa"/>
            <w:vMerge w:val="restart"/>
            <w:tcBorders>
              <w:top w:val="single" w:color="auto" w:sz="8" w:space="0"/>
              <w:bottom w:val="single" w:color="auto" w:sz="8" w:space="0"/>
              <w:right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赛中</w:t>
            </w:r>
          </w:p>
        </w:tc>
        <w:tc>
          <w:tcPr>
            <w:tcW w:w="750" w:type="dxa"/>
            <w:vMerge w:val="restart"/>
            <w:tcBorders>
              <w:top w:val="single" w:color="auto" w:sz="8" w:space="0"/>
              <w:left w:val="single" w:color="auto" w:sz="8" w:space="0"/>
              <w:bottom w:val="single" w:color="auto" w:sz="4"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第</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1</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天</w:t>
            </w:r>
          </w:p>
        </w:tc>
        <w:tc>
          <w:tcPr>
            <w:tcW w:w="1594" w:type="dxa"/>
            <w:tcBorders>
              <w:top w:val="single" w:color="auto" w:sz="8" w:space="0"/>
              <w:bottom w:val="single" w:color="auto" w:sz="4" w:space="0"/>
            </w:tcBorders>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17</w:t>
            </w:r>
            <w:r>
              <w:rPr>
                <w:rFonts w:ascii="仿宋_GB2312" w:hAnsi="仿宋_GB2312" w:eastAsia="仿宋_GB2312" w:cs="仿宋_GB2312"/>
                <w:bCs/>
                <w:color w:val="auto"/>
                <w:sz w:val="22"/>
              </w:rPr>
              <w:t>:</w:t>
            </w:r>
            <w:r>
              <w:rPr>
                <w:rFonts w:hint="eastAsia" w:ascii="仿宋_GB2312" w:hAnsi="仿宋_GB2312" w:eastAsia="仿宋_GB2312" w:cs="仿宋_GB2312"/>
                <w:bCs/>
                <w:color w:val="auto"/>
                <w:sz w:val="22"/>
              </w:rPr>
              <w:t>45</w:t>
            </w:r>
            <w:r>
              <w:rPr>
                <w:rFonts w:ascii="仿宋_GB2312" w:hAnsi="仿宋_GB2312" w:eastAsia="仿宋_GB2312" w:cs="仿宋_GB2312"/>
                <w:bCs/>
                <w:color w:val="auto"/>
                <w:sz w:val="22"/>
              </w:rPr>
              <w:t>-1</w:t>
            </w:r>
            <w:r>
              <w:rPr>
                <w:rFonts w:hint="eastAsia" w:ascii="仿宋_GB2312" w:hAnsi="仿宋_GB2312" w:eastAsia="仿宋_GB2312" w:cs="仿宋_GB2312"/>
                <w:bCs/>
                <w:color w:val="auto"/>
                <w:sz w:val="22"/>
              </w:rPr>
              <w:t>8</w:t>
            </w:r>
            <w:r>
              <w:rPr>
                <w:rFonts w:ascii="仿宋_GB2312" w:hAnsi="仿宋_GB2312" w:eastAsia="仿宋_GB2312" w:cs="仿宋_GB2312"/>
                <w:bCs/>
                <w:color w:val="auto"/>
                <w:sz w:val="22"/>
              </w:rPr>
              <w:t>:</w:t>
            </w:r>
            <w:r>
              <w:rPr>
                <w:rFonts w:hint="eastAsia" w:ascii="仿宋_GB2312" w:hAnsi="仿宋_GB2312" w:eastAsia="仿宋_GB2312" w:cs="仿宋_GB2312"/>
                <w:bCs/>
                <w:color w:val="auto"/>
                <w:sz w:val="22"/>
              </w:rPr>
              <w:t>15</w:t>
            </w:r>
          </w:p>
        </w:tc>
        <w:tc>
          <w:tcPr>
            <w:tcW w:w="2624" w:type="dxa"/>
            <w:tcBorders>
              <w:top w:val="single" w:color="auto" w:sz="8" w:space="0"/>
              <w:bottom w:val="single" w:color="auto" w:sz="4" w:space="0"/>
            </w:tcBorders>
            <w:vAlign w:val="center"/>
          </w:tcPr>
          <w:p>
            <w:pPr>
              <w:spacing w:line="240" w:lineRule="auto"/>
              <w:ind w:firstLine="0" w:firstLineChars="0"/>
              <w:rPr>
                <w:rFonts w:ascii="仿宋_GB2312" w:hAnsi="仿宋_GB2312" w:eastAsia="仿宋_GB2312" w:cs="仿宋_GB2312"/>
                <w:bCs/>
                <w:color w:val="auto"/>
                <w:sz w:val="22"/>
              </w:rPr>
            </w:pPr>
            <w:r>
              <w:rPr>
                <w:rFonts w:ascii="仿宋_GB2312" w:hAnsi="仿宋_GB2312" w:eastAsia="仿宋_GB2312" w:cs="仿宋_GB2312"/>
                <w:bCs/>
                <w:color w:val="auto"/>
                <w:sz w:val="22"/>
              </w:rPr>
              <w:t>抽签、检录入场</w:t>
            </w:r>
          </w:p>
        </w:tc>
        <w:tc>
          <w:tcPr>
            <w:tcW w:w="976" w:type="dxa"/>
            <w:tcBorders>
              <w:top w:val="single" w:color="auto" w:sz="8" w:space="0"/>
              <w:bottom w:val="single" w:color="auto" w:sz="4"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4" w:type="dxa"/>
            <w:tcBorders>
              <w:top w:val="single" w:color="auto" w:sz="8" w:space="0"/>
              <w:bottom w:val="single" w:color="auto" w:sz="4" w:space="0"/>
            </w:tcBorders>
            <w:vAlign w:val="center"/>
          </w:tcPr>
          <w:p>
            <w:pPr>
              <w:spacing w:line="240" w:lineRule="auto"/>
              <w:ind w:firstLine="0" w:firstLineChars="0"/>
              <w:jc w:val="center"/>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750" w:type="dxa"/>
            <w:vMerge w:val="continue"/>
            <w:tcBorders>
              <w:top w:val="single" w:color="auto" w:sz="4" w:space="0"/>
              <w:left w:val="single" w:color="auto" w:sz="8" w:space="0"/>
              <w:bottom w:val="single" w:color="auto" w:sz="4" w:space="0"/>
            </w:tcBorders>
          </w:tcPr>
          <w:p>
            <w:pPr>
              <w:spacing w:line="240" w:lineRule="auto"/>
              <w:ind w:firstLine="0" w:firstLineChars="0"/>
              <w:jc w:val="center"/>
              <w:rPr>
                <w:rFonts w:ascii="仿宋" w:hAnsi="仿宋" w:cs="仿宋"/>
                <w:color w:val="auto"/>
                <w:kern w:val="0"/>
                <w:sz w:val="22"/>
              </w:rPr>
            </w:pPr>
          </w:p>
        </w:tc>
        <w:tc>
          <w:tcPr>
            <w:tcW w:w="1594" w:type="dxa"/>
            <w:tcBorders>
              <w:top w:val="single" w:color="auto" w:sz="4" w:space="0"/>
              <w:bottom w:val="single" w:color="auto" w:sz="4" w:space="0"/>
            </w:tcBorders>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1</w:t>
            </w:r>
            <w:r>
              <w:rPr>
                <w:rFonts w:ascii="仿宋_GB2312" w:hAnsi="仿宋_GB2312" w:eastAsia="仿宋_GB2312" w:cs="仿宋_GB2312"/>
                <w:bCs/>
                <w:color w:val="auto"/>
                <w:sz w:val="22"/>
              </w:rPr>
              <w:t>8:</w:t>
            </w:r>
            <w:r>
              <w:rPr>
                <w:rFonts w:hint="eastAsia" w:ascii="仿宋_GB2312" w:hAnsi="仿宋_GB2312" w:eastAsia="仿宋_GB2312" w:cs="仿宋_GB2312"/>
                <w:bCs/>
                <w:color w:val="auto"/>
                <w:sz w:val="22"/>
              </w:rPr>
              <w:t>15</w:t>
            </w:r>
            <w:r>
              <w:rPr>
                <w:rFonts w:ascii="仿宋_GB2312" w:hAnsi="仿宋_GB2312" w:eastAsia="仿宋_GB2312" w:cs="仿宋_GB2312"/>
                <w:bCs/>
                <w:color w:val="auto"/>
                <w:sz w:val="22"/>
              </w:rPr>
              <w:t>-1</w:t>
            </w:r>
            <w:r>
              <w:rPr>
                <w:rFonts w:hint="eastAsia" w:ascii="仿宋_GB2312" w:hAnsi="仿宋_GB2312" w:eastAsia="仿宋_GB2312" w:cs="仿宋_GB2312"/>
                <w:bCs/>
                <w:color w:val="auto"/>
                <w:sz w:val="22"/>
              </w:rPr>
              <w:t>8</w:t>
            </w:r>
            <w:r>
              <w:rPr>
                <w:rFonts w:ascii="仿宋_GB2312" w:hAnsi="仿宋_GB2312" w:eastAsia="仿宋_GB2312" w:cs="仿宋_GB2312"/>
                <w:bCs/>
                <w:color w:val="auto"/>
                <w:sz w:val="22"/>
              </w:rPr>
              <w:t>:30</w:t>
            </w:r>
          </w:p>
        </w:tc>
        <w:tc>
          <w:tcPr>
            <w:tcW w:w="2624" w:type="dxa"/>
            <w:tcBorders>
              <w:top w:val="single" w:color="auto" w:sz="4" w:space="0"/>
              <w:bottom w:val="single" w:color="auto" w:sz="4" w:space="0"/>
            </w:tcBorders>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检查竞赛设备</w:t>
            </w:r>
          </w:p>
        </w:tc>
        <w:tc>
          <w:tcPr>
            <w:tcW w:w="976" w:type="dxa"/>
            <w:tcBorders>
              <w:top w:val="single" w:color="auto" w:sz="4" w:space="0"/>
              <w:bottom w:val="single" w:color="auto" w:sz="4"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4" w:type="dxa"/>
            <w:tcBorders>
              <w:top w:val="single" w:color="auto" w:sz="4" w:space="0"/>
              <w:bottom w:val="single" w:color="auto" w:sz="4" w:space="0"/>
            </w:tcBorders>
            <w:vAlign w:val="center"/>
          </w:tcPr>
          <w:p>
            <w:pPr>
              <w:spacing w:line="240" w:lineRule="auto"/>
              <w:ind w:firstLine="0" w:firstLineChars="0"/>
              <w:jc w:val="center"/>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750" w:type="dxa"/>
            <w:vMerge w:val="continue"/>
            <w:tcBorders>
              <w:top w:val="single" w:color="auto" w:sz="4" w:space="0"/>
              <w:left w:val="single" w:color="auto" w:sz="8" w:space="0"/>
              <w:bottom w:val="single" w:color="auto" w:sz="4" w:space="0"/>
            </w:tcBorders>
          </w:tcPr>
          <w:p>
            <w:pPr>
              <w:spacing w:line="240" w:lineRule="auto"/>
              <w:ind w:firstLine="0" w:firstLineChars="0"/>
              <w:jc w:val="center"/>
              <w:rPr>
                <w:rFonts w:ascii="仿宋" w:hAnsi="仿宋" w:cs="仿宋"/>
                <w:color w:val="auto"/>
                <w:kern w:val="0"/>
                <w:sz w:val="22"/>
              </w:rPr>
            </w:pPr>
          </w:p>
        </w:tc>
        <w:tc>
          <w:tcPr>
            <w:tcW w:w="1594" w:type="dxa"/>
            <w:tcBorders>
              <w:top w:val="single" w:color="auto" w:sz="4" w:space="0"/>
              <w:bottom w:val="single" w:color="auto" w:sz="4" w:space="0"/>
            </w:tcBorders>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1</w:t>
            </w:r>
            <w:r>
              <w:rPr>
                <w:rFonts w:ascii="仿宋_GB2312" w:hAnsi="仿宋_GB2312" w:eastAsia="仿宋_GB2312" w:cs="仿宋_GB2312"/>
                <w:bCs/>
                <w:color w:val="auto"/>
                <w:sz w:val="22"/>
              </w:rPr>
              <w:t>8:30-1</w:t>
            </w:r>
            <w:r>
              <w:rPr>
                <w:rFonts w:hint="eastAsia" w:ascii="仿宋_GB2312" w:hAnsi="仿宋_GB2312" w:eastAsia="仿宋_GB2312" w:cs="仿宋_GB2312"/>
                <w:bCs/>
                <w:color w:val="auto"/>
                <w:sz w:val="22"/>
              </w:rPr>
              <w:t>9</w:t>
            </w:r>
            <w:r>
              <w:rPr>
                <w:rFonts w:ascii="仿宋_GB2312" w:hAnsi="仿宋_GB2312" w:eastAsia="仿宋_GB2312" w:cs="仿宋_GB2312"/>
                <w:bCs/>
                <w:color w:val="auto"/>
                <w:sz w:val="22"/>
              </w:rPr>
              <w:t>:30</w:t>
            </w:r>
          </w:p>
        </w:tc>
        <w:tc>
          <w:tcPr>
            <w:tcW w:w="2624" w:type="dxa"/>
            <w:tcBorders>
              <w:top w:val="single" w:color="auto" w:sz="4" w:space="0"/>
              <w:bottom w:val="single" w:color="auto" w:sz="4" w:space="0"/>
            </w:tcBorders>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
                <w:color w:val="auto"/>
                <w:sz w:val="22"/>
              </w:rPr>
              <w:t>理论知识竞赛</w:t>
            </w:r>
          </w:p>
        </w:tc>
        <w:tc>
          <w:tcPr>
            <w:tcW w:w="976" w:type="dxa"/>
            <w:tcBorders>
              <w:top w:val="single" w:color="auto" w:sz="4" w:space="0"/>
              <w:bottom w:val="single" w:color="auto" w:sz="4"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4" w:type="dxa"/>
            <w:tcBorders>
              <w:top w:val="single" w:color="auto" w:sz="4" w:space="0"/>
              <w:bottom w:val="single" w:color="auto" w:sz="4" w:space="0"/>
            </w:tcBorders>
            <w:vAlign w:val="center"/>
          </w:tcPr>
          <w:p>
            <w:pPr>
              <w:spacing w:line="240" w:lineRule="auto"/>
              <w:ind w:firstLine="0" w:firstLineChars="0"/>
              <w:jc w:val="center"/>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750" w:type="dxa"/>
            <w:vMerge w:val="continue"/>
            <w:tcBorders>
              <w:top w:val="single" w:color="auto" w:sz="4" w:space="0"/>
              <w:left w:val="single" w:color="auto" w:sz="8" w:space="0"/>
              <w:bottom w:val="single" w:color="auto" w:sz="8" w:space="0"/>
            </w:tcBorders>
          </w:tcPr>
          <w:p>
            <w:pPr>
              <w:spacing w:line="240" w:lineRule="auto"/>
              <w:ind w:firstLine="0" w:firstLineChars="0"/>
              <w:jc w:val="center"/>
              <w:rPr>
                <w:rFonts w:ascii="仿宋" w:hAnsi="仿宋" w:cs="仿宋"/>
                <w:color w:val="auto"/>
                <w:kern w:val="0"/>
                <w:sz w:val="22"/>
              </w:rPr>
            </w:pPr>
          </w:p>
        </w:tc>
        <w:tc>
          <w:tcPr>
            <w:tcW w:w="1594" w:type="dxa"/>
            <w:tcBorders>
              <w:top w:val="single" w:color="auto" w:sz="4" w:space="0"/>
              <w:bottom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19</w:t>
            </w:r>
            <w:r>
              <w:rPr>
                <w:rFonts w:ascii="仿宋_GB2312" w:hAnsi="仿宋_GB2312" w:eastAsia="仿宋_GB2312" w:cs="仿宋_GB2312"/>
                <w:bCs/>
                <w:color w:val="auto"/>
                <w:sz w:val="22"/>
              </w:rPr>
              <w:t>:30-</w:t>
            </w:r>
            <w:r>
              <w:rPr>
                <w:rFonts w:hint="eastAsia" w:ascii="仿宋_GB2312" w:hAnsi="仿宋_GB2312" w:eastAsia="仿宋_GB2312" w:cs="仿宋_GB2312"/>
                <w:bCs/>
                <w:color w:val="auto"/>
                <w:sz w:val="22"/>
              </w:rPr>
              <w:t>20</w:t>
            </w:r>
            <w:r>
              <w:rPr>
                <w:rFonts w:ascii="仿宋_GB2312" w:hAnsi="仿宋_GB2312" w:eastAsia="仿宋_GB2312" w:cs="仿宋_GB2312"/>
                <w:bCs/>
                <w:color w:val="auto"/>
                <w:sz w:val="22"/>
              </w:rPr>
              <w:t>:30</w:t>
            </w:r>
          </w:p>
        </w:tc>
        <w:tc>
          <w:tcPr>
            <w:tcW w:w="2624" w:type="dxa"/>
            <w:tcBorders>
              <w:top w:val="single" w:color="auto" w:sz="4" w:space="0"/>
              <w:bottom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登记成绩</w:t>
            </w:r>
          </w:p>
        </w:tc>
        <w:tc>
          <w:tcPr>
            <w:tcW w:w="976" w:type="dxa"/>
            <w:tcBorders>
              <w:top w:val="single" w:color="auto" w:sz="4" w:space="0"/>
              <w:bottom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4" w:type="dxa"/>
            <w:tcBorders>
              <w:top w:val="single" w:color="auto" w:sz="4" w:space="0"/>
              <w:bottom w:val="single" w:color="auto" w:sz="8" w:space="0"/>
            </w:tcBorders>
            <w:vAlign w:val="center"/>
          </w:tcPr>
          <w:p>
            <w:pPr>
              <w:spacing w:line="240" w:lineRule="auto"/>
              <w:ind w:firstLine="0" w:firstLineChars="0"/>
              <w:jc w:val="center"/>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750" w:type="dxa"/>
            <w:vMerge w:val="restart"/>
            <w:tcBorders>
              <w:top w:val="single" w:color="auto" w:sz="8" w:space="0"/>
              <w:left w:val="single" w:color="auto" w:sz="8" w:space="0"/>
              <w:bottom w:val="single" w:color="auto" w:sz="4"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第</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2</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天</w:t>
            </w:r>
          </w:p>
        </w:tc>
        <w:tc>
          <w:tcPr>
            <w:tcW w:w="1594" w:type="dxa"/>
            <w:tcBorders>
              <w:top w:val="single" w:color="auto" w:sz="8" w:space="0"/>
              <w:bottom w:val="single" w:color="auto" w:sz="4" w:space="0"/>
            </w:tcBorders>
            <w:vAlign w:val="center"/>
          </w:tcPr>
          <w:p>
            <w:pPr>
              <w:spacing w:line="240" w:lineRule="auto"/>
              <w:ind w:firstLine="0" w:firstLineChars="0"/>
              <w:rPr>
                <w:rFonts w:ascii="仿宋_GB2312" w:hAnsi="仿宋_GB2312" w:eastAsia="仿宋_GB2312" w:cs="仿宋_GB2312"/>
                <w:bCs/>
                <w:color w:val="auto"/>
                <w:sz w:val="22"/>
              </w:rPr>
            </w:pPr>
            <w:r>
              <w:rPr>
                <w:rFonts w:ascii="仿宋_GB2312" w:hAnsi="仿宋_GB2312" w:eastAsia="仿宋_GB2312" w:cs="仿宋_GB2312"/>
                <w:bCs/>
                <w:color w:val="auto"/>
                <w:sz w:val="22"/>
              </w:rPr>
              <w:t>7:00-7:40</w:t>
            </w:r>
          </w:p>
        </w:tc>
        <w:tc>
          <w:tcPr>
            <w:tcW w:w="2624" w:type="dxa"/>
            <w:tcBorders>
              <w:top w:val="single" w:color="auto" w:sz="8" w:space="0"/>
              <w:bottom w:val="single" w:color="auto" w:sz="4" w:space="0"/>
            </w:tcBorders>
            <w:vAlign w:val="center"/>
          </w:tcPr>
          <w:p>
            <w:pPr>
              <w:spacing w:line="240" w:lineRule="auto"/>
              <w:ind w:firstLine="0" w:firstLineChars="0"/>
              <w:rPr>
                <w:rFonts w:ascii="仿宋_GB2312" w:hAnsi="仿宋_GB2312" w:eastAsia="仿宋_GB2312" w:cs="仿宋_GB2312"/>
                <w:bCs/>
                <w:color w:val="auto"/>
                <w:sz w:val="22"/>
              </w:rPr>
            </w:pPr>
            <w:r>
              <w:rPr>
                <w:rFonts w:ascii="仿宋_GB2312" w:hAnsi="仿宋_GB2312" w:eastAsia="仿宋_GB2312" w:cs="仿宋_GB2312"/>
                <w:bCs/>
                <w:color w:val="auto"/>
                <w:sz w:val="22"/>
              </w:rPr>
              <w:t>抽签、检录入场</w:t>
            </w:r>
          </w:p>
        </w:tc>
        <w:tc>
          <w:tcPr>
            <w:tcW w:w="976" w:type="dxa"/>
            <w:tcBorders>
              <w:top w:val="single" w:color="auto" w:sz="8" w:space="0"/>
              <w:bottom w:val="single" w:color="auto" w:sz="4"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4" w:type="dxa"/>
            <w:tcBorders>
              <w:top w:val="single" w:color="auto" w:sz="8" w:space="0"/>
              <w:bottom w:val="single" w:color="auto" w:sz="4" w:space="0"/>
            </w:tcBorders>
            <w:vAlign w:val="center"/>
          </w:tcPr>
          <w:p>
            <w:pPr>
              <w:spacing w:line="240" w:lineRule="auto"/>
              <w:ind w:firstLine="0" w:firstLineChars="0"/>
              <w:jc w:val="center"/>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750" w:type="dxa"/>
            <w:vMerge w:val="continue"/>
            <w:tcBorders>
              <w:top w:val="single" w:color="auto" w:sz="4" w:space="0"/>
              <w:left w:val="single" w:color="auto" w:sz="8" w:space="0"/>
              <w:bottom w:val="single" w:color="auto" w:sz="4" w:space="0"/>
            </w:tcBorders>
          </w:tcPr>
          <w:p>
            <w:pPr>
              <w:spacing w:line="240" w:lineRule="auto"/>
              <w:ind w:firstLine="0" w:firstLineChars="0"/>
              <w:jc w:val="center"/>
              <w:rPr>
                <w:rFonts w:ascii="仿宋" w:hAnsi="仿宋" w:cs="仿宋"/>
                <w:color w:val="auto"/>
                <w:kern w:val="0"/>
                <w:sz w:val="22"/>
              </w:rPr>
            </w:pPr>
          </w:p>
        </w:tc>
        <w:tc>
          <w:tcPr>
            <w:tcW w:w="1594" w:type="dxa"/>
            <w:tcBorders>
              <w:top w:val="single" w:color="auto" w:sz="4" w:space="0"/>
              <w:bottom w:val="single" w:color="auto" w:sz="4" w:space="0"/>
            </w:tcBorders>
            <w:vAlign w:val="center"/>
          </w:tcPr>
          <w:p>
            <w:pPr>
              <w:spacing w:line="240" w:lineRule="auto"/>
              <w:ind w:firstLine="0" w:firstLineChars="0"/>
              <w:rPr>
                <w:rFonts w:ascii="仿宋_GB2312" w:hAnsi="仿宋_GB2312" w:eastAsia="仿宋_GB2312" w:cs="仿宋_GB2312"/>
                <w:bCs/>
                <w:color w:val="auto"/>
                <w:sz w:val="22"/>
              </w:rPr>
            </w:pPr>
            <w:r>
              <w:rPr>
                <w:rFonts w:ascii="仿宋_GB2312" w:hAnsi="仿宋_GB2312" w:eastAsia="仿宋_GB2312" w:cs="仿宋_GB2312"/>
                <w:bCs/>
                <w:color w:val="auto"/>
                <w:sz w:val="22"/>
              </w:rPr>
              <w:t>7:40-8:00</w:t>
            </w:r>
          </w:p>
        </w:tc>
        <w:tc>
          <w:tcPr>
            <w:tcW w:w="2624" w:type="dxa"/>
            <w:tcBorders>
              <w:top w:val="single" w:color="auto" w:sz="4" w:space="0"/>
              <w:bottom w:val="single" w:color="auto" w:sz="4" w:space="0"/>
            </w:tcBorders>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检查竞赛设备</w:t>
            </w:r>
          </w:p>
        </w:tc>
        <w:tc>
          <w:tcPr>
            <w:tcW w:w="976" w:type="dxa"/>
            <w:tcBorders>
              <w:top w:val="single" w:color="auto" w:sz="4" w:space="0"/>
              <w:bottom w:val="single" w:color="auto" w:sz="4"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4" w:type="dxa"/>
            <w:tcBorders>
              <w:top w:val="single" w:color="auto" w:sz="4" w:space="0"/>
              <w:bottom w:val="single" w:color="auto" w:sz="4" w:space="0"/>
            </w:tcBorders>
            <w:vAlign w:val="center"/>
          </w:tcPr>
          <w:p>
            <w:pPr>
              <w:spacing w:line="240" w:lineRule="auto"/>
              <w:ind w:firstLine="0" w:firstLineChars="0"/>
              <w:jc w:val="center"/>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750" w:type="dxa"/>
            <w:vMerge w:val="continue"/>
            <w:tcBorders>
              <w:top w:val="single" w:color="auto" w:sz="4" w:space="0"/>
              <w:left w:val="single" w:color="auto" w:sz="8" w:space="0"/>
              <w:bottom w:val="single" w:color="auto" w:sz="4" w:space="0"/>
            </w:tcBorders>
          </w:tcPr>
          <w:p>
            <w:pPr>
              <w:spacing w:line="240" w:lineRule="auto"/>
              <w:ind w:firstLine="0" w:firstLineChars="0"/>
              <w:jc w:val="center"/>
              <w:rPr>
                <w:rFonts w:ascii="仿宋" w:hAnsi="仿宋" w:cs="仿宋"/>
                <w:color w:val="auto"/>
                <w:kern w:val="0"/>
                <w:sz w:val="22"/>
              </w:rPr>
            </w:pPr>
          </w:p>
        </w:tc>
        <w:tc>
          <w:tcPr>
            <w:tcW w:w="1594" w:type="dxa"/>
            <w:tcBorders>
              <w:top w:val="single" w:color="auto" w:sz="4" w:space="0"/>
              <w:bottom w:val="single" w:color="auto" w:sz="4" w:space="0"/>
            </w:tcBorders>
            <w:vAlign w:val="center"/>
          </w:tcPr>
          <w:p>
            <w:pPr>
              <w:spacing w:line="240" w:lineRule="auto"/>
              <w:ind w:firstLine="0" w:firstLineChars="0"/>
              <w:rPr>
                <w:rFonts w:ascii="仿宋_GB2312" w:hAnsi="仿宋_GB2312" w:eastAsia="仿宋_GB2312" w:cs="仿宋_GB2312"/>
                <w:bCs/>
                <w:color w:val="auto"/>
                <w:sz w:val="22"/>
              </w:rPr>
            </w:pPr>
            <w:r>
              <w:rPr>
                <w:rFonts w:ascii="仿宋_GB2312" w:hAnsi="仿宋_GB2312" w:eastAsia="仿宋_GB2312" w:cs="仿宋_GB2312"/>
                <w:bCs/>
                <w:color w:val="auto"/>
                <w:sz w:val="22"/>
              </w:rPr>
              <w:t>8:00-12:00</w:t>
            </w:r>
          </w:p>
        </w:tc>
        <w:tc>
          <w:tcPr>
            <w:tcW w:w="2624" w:type="dxa"/>
            <w:tcBorders>
              <w:top w:val="single" w:color="auto" w:sz="4" w:space="0"/>
              <w:bottom w:val="single" w:color="auto" w:sz="4" w:space="0"/>
            </w:tcBorders>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
                <w:color w:val="auto"/>
                <w:sz w:val="22"/>
              </w:rPr>
              <w:t>建筑装饰施工图设计</w:t>
            </w:r>
          </w:p>
        </w:tc>
        <w:tc>
          <w:tcPr>
            <w:tcW w:w="976" w:type="dxa"/>
            <w:tcBorders>
              <w:top w:val="single" w:color="auto" w:sz="4" w:space="0"/>
              <w:bottom w:val="single" w:color="auto" w:sz="4"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4" w:type="dxa"/>
            <w:tcBorders>
              <w:top w:val="single" w:color="auto" w:sz="4" w:space="0"/>
              <w:bottom w:val="single" w:color="auto" w:sz="4" w:space="0"/>
            </w:tcBorders>
            <w:vAlign w:val="center"/>
          </w:tcPr>
          <w:p>
            <w:pPr>
              <w:spacing w:line="240" w:lineRule="auto"/>
              <w:ind w:firstLine="0" w:firstLineChars="0"/>
              <w:jc w:val="center"/>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750" w:type="dxa"/>
            <w:vMerge w:val="continue"/>
            <w:tcBorders>
              <w:top w:val="single" w:color="auto" w:sz="4" w:space="0"/>
              <w:left w:val="single" w:color="auto" w:sz="8" w:space="0"/>
              <w:bottom w:val="single" w:color="auto" w:sz="4" w:space="0"/>
            </w:tcBorders>
          </w:tcPr>
          <w:p>
            <w:pPr>
              <w:spacing w:line="240" w:lineRule="auto"/>
              <w:ind w:firstLine="0" w:firstLineChars="0"/>
              <w:jc w:val="center"/>
              <w:rPr>
                <w:rFonts w:ascii="仿宋" w:hAnsi="仿宋" w:cs="仿宋"/>
                <w:color w:val="auto"/>
                <w:kern w:val="0"/>
                <w:sz w:val="22"/>
              </w:rPr>
            </w:pPr>
          </w:p>
        </w:tc>
        <w:tc>
          <w:tcPr>
            <w:tcW w:w="1594" w:type="dxa"/>
            <w:tcBorders>
              <w:top w:val="single" w:color="auto" w:sz="4" w:space="0"/>
              <w:bottom w:val="single" w:color="auto" w:sz="4" w:space="0"/>
            </w:tcBorders>
            <w:vAlign w:val="center"/>
          </w:tcPr>
          <w:p>
            <w:pPr>
              <w:spacing w:line="240" w:lineRule="auto"/>
              <w:ind w:firstLine="0" w:firstLineChars="0"/>
              <w:rPr>
                <w:rFonts w:ascii="仿宋_GB2312" w:hAnsi="仿宋_GB2312" w:eastAsia="仿宋_GB2312" w:cs="仿宋_GB2312"/>
                <w:bCs/>
                <w:color w:val="auto"/>
                <w:sz w:val="22"/>
              </w:rPr>
            </w:pPr>
            <w:r>
              <w:rPr>
                <w:rFonts w:ascii="仿宋_GB2312" w:hAnsi="仿宋_GB2312" w:eastAsia="仿宋_GB2312" w:cs="仿宋_GB2312"/>
                <w:bCs/>
                <w:color w:val="auto"/>
                <w:sz w:val="22"/>
              </w:rPr>
              <w:t>12:00-13:</w:t>
            </w:r>
            <w:r>
              <w:rPr>
                <w:rFonts w:hint="eastAsia" w:ascii="仿宋_GB2312" w:hAnsi="仿宋_GB2312" w:eastAsia="仿宋_GB2312" w:cs="仿宋_GB2312"/>
                <w:bCs/>
                <w:color w:val="auto"/>
                <w:sz w:val="22"/>
              </w:rPr>
              <w:t>0</w:t>
            </w:r>
            <w:r>
              <w:rPr>
                <w:rFonts w:ascii="仿宋_GB2312" w:hAnsi="仿宋_GB2312" w:eastAsia="仿宋_GB2312" w:cs="仿宋_GB2312"/>
                <w:bCs/>
                <w:color w:val="auto"/>
                <w:sz w:val="22"/>
              </w:rPr>
              <w:t>0</w:t>
            </w:r>
          </w:p>
        </w:tc>
        <w:tc>
          <w:tcPr>
            <w:tcW w:w="2624" w:type="dxa"/>
            <w:tcBorders>
              <w:top w:val="single" w:color="auto" w:sz="4" w:space="0"/>
              <w:bottom w:val="single" w:color="auto" w:sz="4" w:space="0"/>
            </w:tcBorders>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保存、拷贝，午休及午餐</w:t>
            </w:r>
          </w:p>
        </w:tc>
        <w:tc>
          <w:tcPr>
            <w:tcW w:w="976" w:type="dxa"/>
            <w:tcBorders>
              <w:top w:val="single" w:color="auto" w:sz="4" w:space="0"/>
              <w:bottom w:val="single" w:color="auto" w:sz="4"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4" w:type="dxa"/>
            <w:tcBorders>
              <w:top w:val="single" w:color="auto" w:sz="4" w:space="0"/>
              <w:bottom w:val="single" w:color="auto" w:sz="4" w:space="0"/>
            </w:tcBorders>
            <w:vAlign w:val="center"/>
          </w:tcPr>
          <w:p>
            <w:pPr>
              <w:spacing w:line="240" w:lineRule="auto"/>
              <w:ind w:firstLine="0" w:firstLineChars="0"/>
              <w:jc w:val="center"/>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750" w:type="dxa"/>
            <w:vMerge w:val="continue"/>
            <w:tcBorders>
              <w:top w:val="single" w:color="auto" w:sz="4" w:space="0"/>
              <w:left w:val="single" w:color="auto" w:sz="8" w:space="0"/>
              <w:bottom w:val="single" w:color="auto" w:sz="4" w:space="0"/>
            </w:tcBorders>
          </w:tcPr>
          <w:p>
            <w:pPr>
              <w:spacing w:line="240" w:lineRule="auto"/>
              <w:ind w:firstLine="0" w:firstLineChars="0"/>
              <w:jc w:val="center"/>
              <w:rPr>
                <w:rFonts w:ascii="仿宋" w:hAnsi="仿宋" w:cs="仿宋"/>
                <w:color w:val="auto"/>
                <w:kern w:val="0"/>
                <w:sz w:val="22"/>
              </w:rPr>
            </w:pPr>
          </w:p>
        </w:tc>
        <w:tc>
          <w:tcPr>
            <w:tcW w:w="1594" w:type="dxa"/>
            <w:tcBorders>
              <w:top w:val="single" w:color="auto" w:sz="4" w:space="0"/>
              <w:bottom w:val="single" w:color="auto" w:sz="4" w:space="0"/>
            </w:tcBorders>
            <w:vAlign w:val="center"/>
          </w:tcPr>
          <w:p>
            <w:pPr>
              <w:spacing w:line="240" w:lineRule="auto"/>
              <w:ind w:firstLine="0" w:firstLineChars="0"/>
              <w:rPr>
                <w:rFonts w:ascii="仿宋_GB2312" w:hAnsi="仿宋_GB2312" w:eastAsia="仿宋_GB2312" w:cs="仿宋_GB2312"/>
                <w:bCs/>
                <w:color w:val="auto"/>
                <w:sz w:val="22"/>
              </w:rPr>
            </w:pPr>
            <w:r>
              <w:rPr>
                <w:rFonts w:ascii="仿宋_GB2312" w:hAnsi="仿宋_GB2312" w:eastAsia="仿宋_GB2312" w:cs="仿宋_GB2312"/>
                <w:bCs/>
                <w:color w:val="auto"/>
                <w:sz w:val="22"/>
              </w:rPr>
              <w:t>13:</w:t>
            </w:r>
            <w:r>
              <w:rPr>
                <w:rFonts w:hint="eastAsia" w:ascii="仿宋_GB2312" w:hAnsi="仿宋_GB2312" w:eastAsia="仿宋_GB2312" w:cs="仿宋_GB2312"/>
                <w:bCs/>
                <w:color w:val="auto"/>
                <w:sz w:val="22"/>
              </w:rPr>
              <w:t>0</w:t>
            </w:r>
            <w:r>
              <w:rPr>
                <w:rFonts w:ascii="仿宋_GB2312" w:hAnsi="仿宋_GB2312" w:eastAsia="仿宋_GB2312" w:cs="仿宋_GB2312"/>
                <w:bCs/>
                <w:color w:val="auto"/>
                <w:sz w:val="22"/>
              </w:rPr>
              <w:t>0-14:</w:t>
            </w:r>
            <w:r>
              <w:rPr>
                <w:rFonts w:hint="eastAsia" w:ascii="仿宋_GB2312" w:hAnsi="仿宋_GB2312" w:eastAsia="仿宋_GB2312" w:cs="仿宋_GB2312"/>
                <w:bCs/>
                <w:color w:val="auto"/>
                <w:sz w:val="22"/>
              </w:rPr>
              <w:t>0</w:t>
            </w:r>
            <w:r>
              <w:rPr>
                <w:rFonts w:ascii="仿宋_GB2312" w:hAnsi="仿宋_GB2312" w:eastAsia="仿宋_GB2312" w:cs="仿宋_GB2312"/>
                <w:bCs/>
                <w:color w:val="auto"/>
                <w:sz w:val="22"/>
              </w:rPr>
              <w:t>0</w:t>
            </w:r>
          </w:p>
        </w:tc>
        <w:tc>
          <w:tcPr>
            <w:tcW w:w="2624" w:type="dxa"/>
            <w:tcBorders>
              <w:top w:val="single" w:color="auto" w:sz="4" w:space="0"/>
              <w:bottom w:val="single" w:color="auto" w:sz="4" w:space="0"/>
            </w:tcBorders>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
                <w:color w:val="auto"/>
                <w:sz w:val="22"/>
              </w:rPr>
              <w:t>建筑装饰材料测算</w:t>
            </w:r>
          </w:p>
        </w:tc>
        <w:tc>
          <w:tcPr>
            <w:tcW w:w="976" w:type="dxa"/>
            <w:tcBorders>
              <w:top w:val="single" w:color="auto" w:sz="4" w:space="0"/>
              <w:bottom w:val="single" w:color="auto" w:sz="4"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4" w:type="dxa"/>
            <w:tcBorders>
              <w:top w:val="single" w:color="auto" w:sz="4" w:space="0"/>
              <w:bottom w:val="single" w:color="auto" w:sz="4" w:space="0"/>
            </w:tcBorders>
            <w:vAlign w:val="center"/>
          </w:tcPr>
          <w:p>
            <w:pPr>
              <w:spacing w:line="240" w:lineRule="auto"/>
              <w:ind w:firstLine="0" w:firstLineChars="0"/>
              <w:jc w:val="center"/>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750" w:type="dxa"/>
            <w:vMerge w:val="continue"/>
            <w:tcBorders>
              <w:top w:val="single" w:color="auto" w:sz="4" w:space="0"/>
              <w:left w:val="single" w:color="auto" w:sz="8" w:space="0"/>
              <w:bottom w:val="single" w:color="auto" w:sz="4" w:space="0"/>
            </w:tcBorders>
          </w:tcPr>
          <w:p>
            <w:pPr>
              <w:spacing w:line="240" w:lineRule="auto"/>
              <w:ind w:firstLine="0" w:firstLineChars="0"/>
              <w:jc w:val="center"/>
              <w:rPr>
                <w:rFonts w:ascii="仿宋" w:hAnsi="仿宋" w:cs="仿宋"/>
                <w:color w:val="auto"/>
                <w:kern w:val="0"/>
                <w:sz w:val="22"/>
              </w:rPr>
            </w:pPr>
          </w:p>
        </w:tc>
        <w:tc>
          <w:tcPr>
            <w:tcW w:w="1594" w:type="dxa"/>
            <w:tcBorders>
              <w:top w:val="single" w:color="auto" w:sz="4" w:space="0"/>
              <w:bottom w:val="single" w:color="auto" w:sz="4" w:space="0"/>
            </w:tcBorders>
            <w:vAlign w:val="center"/>
          </w:tcPr>
          <w:p>
            <w:pPr>
              <w:spacing w:line="240" w:lineRule="auto"/>
              <w:ind w:firstLine="0" w:firstLineChars="0"/>
              <w:rPr>
                <w:rFonts w:ascii="仿宋_GB2312" w:hAnsi="仿宋_GB2312" w:eastAsia="仿宋_GB2312" w:cs="仿宋_GB2312"/>
                <w:bCs/>
                <w:color w:val="auto"/>
                <w:sz w:val="22"/>
              </w:rPr>
            </w:pPr>
            <w:r>
              <w:rPr>
                <w:rFonts w:ascii="仿宋_GB2312" w:hAnsi="仿宋_GB2312" w:eastAsia="仿宋_GB2312" w:cs="仿宋_GB2312"/>
                <w:bCs/>
                <w:color w:val="auto"/>
                <w:sz w:val="22"/>
              </w:rPr>
              <w:t>1</w:t>
            </w:r>
            <w:r>
              <w:rPr>
                <w:rFonts w:hint="eastAsia" w:ascii="仿宋_GB2312" w:hAnsi="仿宋_GB2312" w:eastAsia="仿宋_GB2312" w:cs="仿宋_GB2312"/>
                <w:bCs/>
                <w:color w:val="auto"/>
                <w:sz w:val="22"/>
              </w:rPr>
              <w:t>4</w:t>
            </w:r>
            <w:r>
              <w:rPr>
                <w:rFonts w:ascii="仿宋_GB2312" w:hAnsi="仿宋_GB2312" w:eastAsia="仿宋_GB2312" w:cs="仿宋_GB2312"/>
                <w:bCs/>
                <w:color w:val="auto"/>
                <w:sz w:val="22"/>
              </w:rPr>
              <w:t>:00-1</w:t>
            </w:r>
            <w:r>
              <w:rPr>
                <w:rFonts w:hint="eastAsia" w:ascii="仿宋_GB2312" w:hAnsi="仿宋_GB2312" w:eastAsia="仿宋_GB2312" w:cs="仿宋_GB2312"/>
                <w:bCs/>
                <w:color w:val="auto"/>
                <w:sz w:val="22"/>
              </w:rPr>
              <w:t>5</w:t>
            </w:r>
            <w:r>
              <w:rPr>
                <w:rFonts w:ascii="仿宋_GB2312" w:hAnsi="仿宋_GB2312" w:eastAsia="仿宋_GB2312" w:cs="仿宋_GB2312"/>
                <w:bCs/>
                <w:color w:val="auto"/>
                <w:sz w:val="22"/>
              </w:rPr>
              <w:t>:30</w:t>
            </w:r>
          </w:p>
        </w:tc>
        <w:tc>
          <w:tcPr>
            <w:tcW w:w="2624" w:type="dxa"/>
            <w:tcBorders>
              <w:top w:val="single" w:color="auto" w:sz="4" w:space="0"/>
              <w:bottom w:val="single" w:color="auto" w:sz="4" w:space="0"/>
            </w:tcBorders>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图纸打印</w:t>
            </w:r>
          </w:p>
        </w:tc>
        <w:tc>
          <w:tcPr>
            <w:tcW w:w="976" w:type="dxa"/>
            <w:tcBorders>
              <w:top w:val="single" w:color="auto" w:sz="4" w:space="0"/>
              <w:bottom w:val="single" w:color="auto" w:sz="4"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4" w:type="dxa"/>
            <w:tcBorders>
              <w:top w:val="single" w:color="auto" w:sz="4" w:space="0"/>
              <w:bottom w:val="single" w:color="auto" w:sz="4" w:space="0"/>
            </w:tcBorders>
            <w:vAlign w:val="center"/>
          </w:tcPr>
          <w:p>
            <w:pPr>
              <w:spacing w:line="240" w:lineRule="auto"/>
              <w:ind w:firstLine="0" w:firstLineChars="0"/>
              <w:jc w:val="center"/>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750" w:type="dxa"/>
            <w:vMerge w:val="continue"/>
            <w:tcBorders>
              <w:top w:val="single" w:color="auto" w:sz="4" w:space="0"/>
              <w:left w:val="single" w:color="auto" w:sz="8" w:space="0"/>
              <w:bottom w:val="single" w:color="auto" w:sz="8" w:space="0"/>
            </w:tcBorders>
          </w:tcPr>
          <w:p>
            <w:pPr>
              <w:spacing w:line="240" w:lineRule="auto"/>
              <w:ind w:firstLine="0" w:firstLineChars="0"/>
              <w:jc w:val="center"/>
              <w:rPr>
                <w:rFonts w:ascii="仿宋" w:hAnsi="仿宋" w:cs="仿宋"/>
                <w:color w:val="auto"/>
                <w:kern w:val="0"/>
                <w:sz w:val="22"/>
              </w:rPr>
            </w:pPr>
          </w:p>
        </w:tc>
        <w:tc>
          <w:tcPr>
            <w:tcW w:w="1594" w:type="dxa"/>
            <w:tcBorders>
              <w:top w:val="single" w:color="auto" w:sz="4" w:space="0"/>
              <w:bottom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ascii="仿宋_GB2312" w:hAnsi="仿宋_GB2312" w:eastAsia="仿宋_GB2312" w:cs="仿宋_GB2312"/>
                <w:bCs/>
                <w:color w:val="auto"/>
                <w:sz w:val="22"/>
              </w:rPr>
              <w:t>1</w:t>
            </w:r>
            <w:r>
              <w:rPr>
                <w:rFonts w:hint="eastAsia" w:ascii="仿宋_GB2312" w:hAnsi="仿宋_GB2312" w:eastAsia="仿宋_GB2312" w:cs="仿宋_GB2312"/>
                <w:bCs/>
                <w:color w:val="auto"/>
                <w:sz w:val="22"/>
              </w:rPr>
              <w:t>5</w:t>
            </w:r>
            <w:r>
              <w:rPr>
                <w:rFonts w:ascii="仿宋_GB2312" w:hAnsi="仿宋_GB2312" w:eastAsia="仿宋_GB2312" w:cs="仿宋_GB2312"/>
                <w:bCs/>
                <w:color w:val="auto"/>
                <w:sz w:val="22"/>
              </w:rPr>
              <w:t>:</w:t>
            </w:r>
            <w:r>
              <w:rPr>
                <w:rFonts w:hint="eastAsia" w:ascii="仿宋_GB2312" w:hAnsi="仿宋_GB2312" w:eastAsia="仿宋_GB2312" w:cs="仿宋_GB2312"/>
                <w:bCs/>
                <w:color w:val="auto"/>
                <w:sz w:val="22"/>
              </w:rPr>
              <w:t>3</w:t>
            </w:r>
            <w:r>
              <w:rPr>
                <w:rFonts w:ascii="仿宋_GB2312" w:hAnsi="仿宋_GB2312" w:eastAsia="仿宋_GB2312" w:cs="仿宋_GB2312"/>
                <w:bCs/>
                <w:color w:val="auto"/>
                <w:sz w:val="22"/>
              </w:rPr>
              <w:t>0-</w:t>
            </w:r>
            <w:r>
              <w:rPr>
                <w:rFonts w:hint="eastAsia" w:ascii="仿宋_GB2312" w:hAnsi="仿宋_GB2312" w:eastAsia="仿宋_GB2312" w:cs="仿宋_GB2312"/>
                <w:bCs/>
                <w:color w:val="auto"/>
                <w:sz w:val="22"/>
              </w:rPr>
              <w:t>20</w:t>
            </w:r>
            <w:r>
              <w:rPr>
                <w:rFonts w:ascii="仿宋_GB2312" w:hAnsi="仿宋_GB2312" w:eastAsia="仿宋_GB2312" w:cs="仿宋_GB2312"/>
                <w:bCs/>
                <w:color w:val="auto"/>
                <w:sz w:val="22"/>
              </w:rPr>
              <w:t>:30</w:t>
            </w:r>
          </w:p>
        </w:tc>
        <w:tc>
          <w:tcPr>
            <w:tcW w:w="2624" w:type="dxa"/>
            <w:tcBorders>
              <w:top w:val="single" w:color="auto" w:sz="4" w:space="0"/>
              <w:bottom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裁判评分</w:t>
            </w:r>
          </w:p>
        </w:tc>
        <w:tc>
          <w:tcPr>
            <w:tcW w:w="976" w:type="dxa"/>
            <w:tcBorders>
              <w:top w:val="single" w:color="auto" w:sz="4" w:space="0"/>
              <w:bottom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4" w:type="dxa"/>
            <w:tcBorders>
              <w:top w:val="single" w:color="auto" w:sz="4" w:space="0"/>
              <w:bottom w:val="single" w:color="auto" w:sz="8" w:space="0"/>
            </w:tcBorders>
            <w:vAlign w:val="center"/>
          </w:tcPr>
          <w:p>
            <w:pPr>
              <w:spacing w:line="240" w:lineRule="auto"/>
              <w:ind w:firstLine="0" w:firstLineChars="0"/>
              <w:jc w:val="center"/>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750" w:type="dxa"/>
            <w:vMerge w:val="restart"/>
            <w:tcBorders>
              <w:top w:val="single" w:color="auto" w:sz="8" w:space="0"/>
              <w:left w:val="single" w:color="auto" w:sz="8" w:space="0"/>
              <w:bottom w:val="single" w:color="auto" w:sz="4"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第</w:t>
            </w:r>
          </w:p>
          <w:p>
            <w:pPr>
              <w:spacing w:line="240" w:lineRule="auto"/>
              <w:ind w:firstLine="0" w:firstLineChars="0"/>
              <w:jc w:val="center"/>
              <w:rPr>
                <w:rFonts w:hint="eastAsia" w:ascii="仿宋" w:hAnsi="仿宋" w:cs="仿宋"/>
                <w:color w:val="auto"/>
                <w:kern w:val="0"/>
                <w:sz w:val="22"/>
                <w:lang w:val="en-US" w:eastAsia="zh-CN"/>
              </w:rPr>
            </w:pPr>
            <w:r>
              <w:rPr>
                <w:rFonts w:hint="eastAsia" w:ascii="仿宋" w:hAnsi="仿宋" w:cs="仿宋"/>
                <w:color w:val="auto"/>
                <w:kern w:val="0"/>
                <w:sz w:val="22"/>
                <w:lang w:val="en-US" w:eastAsia="zh-CN"/>
              </w:rPr>
              <w:t>4</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天</w:t>
            </w:r>
          </w:p>
        </w:tc>
        <w:tc>
          <w:tcPr>
            <w:tcW w:w="1594" w:type="dxa"/>
            <w:tcBorders>
              <w:top w:val="single" w:color="auto" w:sz="8" w:space="0"/>
              <w:bottom w:val="single" w:color="auto" w:sz="4" w:space="0"/>
            </w:tcBorders>
            <w:vAlign w:val="center"/>
          </w:tcPr>
          <w:p>
            <w:pPr>
              <w:spacing w:line="240" w:lineRule="auto"/>
              <w:ind w:firstLine="0" w:firstLineChars="0"/>
              <w:rPr>
                <w:rFonts w:ascii="仿宋_GB2312" w:hAnsi="仿宋_GB2312" w:eastAsia="仿宋_GB2312" w:cs="仿宋_GB2312"/>
                <w:bCs/>
                <w:color w:val="auto"/>
                <w:sz w:val="22"/>
              </w:rPr>
            </w:pPr>
            <w:r>
              <w:rPr>
                <w:rFonts w:ascii="仿宋_GB2312" w:hAnsi="仿宋_GB2312" w:eastAsia="仿宋_GB2312" w:cs="仿宋_GB2312"/>
                <w:bCs/>
                <w:color w:val="auto"/>
                <w:sz w:val="22"/>
              </w:rPr>
              <w:t>7:00-8:00</w:t>
            </w:r>
          </w:p>
        </w:tc>
        <w:tc>
          <w:tcPr>
            <w:tcW w:w="2624" w:type="dxa"/>
            <w:tcBorders>
              <w:top w:val="single" w:color="auto" w:sz="8" w:space="0"/>
              <w:bottom w:val="single" w:color="auto" w:sz="4" w:space="0"/>
            </w:tcBorders>
            <w:vAlign w:val="center"/>
          </w:tcPr>
          <w:p>
            <w:pPr>
              <w:spacing w:line="240" w:lineRule="auto"/>
              <w:ind w:firstLine="0" w:firstLineChars="0"/>
              <w:rPr>
                <w:rFonts w:ascii="仿宋_GB2312" w:hAnsi="仿宋_GB2312" w:eastAsia="仿宋_GB2312" w:cs="仿宋_GB2312"/>
                <w:bCs/>
                <w:color w:val="auto"/>
                <w:sz w:val="22"/>
              </w:rPr>
            </w:pPr>
            <w:r>
              <w:rPr>
                <w:rFonts w:ascii="仿宋_GB2312" w:hAnsi="仿宋_GB2312" w:eastAsia="仿宋_GB2312" w:cs="仿宋_GB2312"/>
                <w:bCs/>
                <w:color w:val="auto"/>
                <w:sz w:val="22"/>
              </w:rPr>
              <w:t>抽签、检录入场</w:t>
            </w:r>
          </w:p>
        </w:tc>
        <w:tc>
          <w:tcPr>
            <w:tcW w:w="976" w:type="dxa"/>
            <w:tcBorders>
              <w:top w:val="single" w:color="auto" w:sz="8" w:space="0"/>
              <w:bottom w:val="single" w:color="auto" w:sz="4"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4" w:type="dxa"/>
            <w:tcBorders>
              <w:top w:val="single" w:color="auto" w:sz="8" w:space="0"/>
              <w:bottom w:val="single" w:color="auto" w:sz="4" w:space="0"/>
            </w:tcBorders>
            <w:vAlign w:val="center"/>
          </w:tcPr>
          <w:p>
            <w:pPr>
              <w:spacing w:line="240" w:lineRule="auto"/>
              <w:ind w:firstLine="0" w:firstLineChars="0"/>
              <w:jc w:val="center"/>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750" w:type="dxa"/>
            <w:vMerge w:val="continue"/>
            <w:tcBorders>
              <w:top w:val="single" w:color="auto" w:sz="4" w:space="0"/>
              <w:left w:val="single" w:color="auto" w:sz="8" w:space="0"/>
              <w:bottom w:val="single" w:color="auto" w:sz="4" w:space="0"/>
            </w:tcBorders>
          </w:tcPr>
          <w:p>
            <w:pPr>
              <w:spacing w:line="240" w:lineRule="auto"/>
              <w:ind w:firstLine="0" w:firstLineChars="0"/>
              <w:jc w:val="center"/>
              <w:rPr>
                <w:rFonts w:ascii="仿宋" w:hAnsi="仿宋" w:cs="仿宋"/>
                <w:color w:val="auto"/>
                <w:kern w:val="0"/>
                <w:sz w:val="22"/>
              </w:rPr>
            </w:pPr>
          </w:p>
        </w:tc>
        <w:tc>
          <w:tcPr>
            <w:tcW w:w="1594" w:type="dxa"/>
            <w:tcBorders>
              <w:top w:val="single" w:color="auto" w:sz="4" w:space="0"/>
              <w:bottom w:val="single" w:color="auto" w:sz="4" w:space="0"/>
            </w:tcBorders>
            <w:vAlign w:val="center"/>
          </w:tcPr>
          <w:p>
            <w:pPr>
              <w:spacing w:line="240" w:lineRule="auto"/>
              <w:ind w:firstLine="0" w:firstLineChars="0"/>
              <w:rPr>
                <w:rFonts w:ascii="仿宋_GB2312" w:hAnsi="仿宋_GB2312" w:eastAsia="仿宋_GB2312" w:cs="仿宋_GB2312"/>
                <w:bCs/>
                <w:color w:val="auto"/>
                <w:sz w:val="22"/>
              </w:rPr>
            </w:pPr>
            <w:r>
              <w:rPr>
                <w:rFonts w:ascii="仿宋_GB2312" w:hAnsi="仿宋_GB2312" w:eastAsia="仿宋_GB2312" w:cs="仿宋_GB2312"/>
                <w:bCs/>
                <w:color w:val="auto"/>
                <w:sz w:val="22"/>
              </w:rPr>
              <w:t>8:00-8:30</w:t>
            </w:r>
          </w:p>
        </w:tc>
        <w:tc>
          <w:tcPr>
            <w:tcW w:w="2624" w:type="dxa"/>
            <w:tcBorders>
              <w:top w:val="single" w:color="auto" w:sz="4" w:space="0"/>
              <w:bottom w:val="single" w:color="auto" w:sz="4" w:space="0"/>
            </w:tcBorders>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检查竞赛设备</w:t>
            </w:r>
          </w:p>
        </w:tc>
        <w:tc>
          <w:tcPr>
            <w:tcW w:w="976" w:type="dxa"/>
            <w:tcBorders>
              <w:top w:val="single" w:color="auto" w:sz="4" w:space="0"/>
              <w:bottom w:val="single" w:color="auto" w:sz="4"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4" w:type="dxa"/>
            <w:tcBorders>
              <w:top w:val="single" w:color="auto" w:sz="4" w:space="0"/>
              <w:bottom w:val="single" w:color="auto" w:sz="4" w:space="0"/>
            </w:tcBorders>
            <w:vAlign w:val="center"/>
          </w:tcPr>
          <w:p>
            <w:pPr>
              <w:spacing w:line="240" w:lineRule="auto"/>
              <w:ind w:firstLine="0" w:firstLineChars="0"/>
              <w:jc w:val="center"/>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750" w:type="dxa"/>
            <w:vMerge w:val="continue"/>
            <w:tcBorders>
              <w:top w:val="single" w:color="auto" w:sz="4" w:space="0"/>
              <w:left w:val="single" w:color="auto" w:sz="8" w:space="0"/>
              <w:bottom w:val="single" w:color="auto" w:sz="4" w:space="0"/>
            </w:tcBorders>
          </w:tcPr>
          <w:p>
            <w:pPr>
              <w:spacing w:line="240" w:lineRule="auto"/>
              <w:ind w:firstLine="0" w:firstLineChars="0"/>
              <w:jc w:val="center"/>
              <w:rPr>
                <w:rFonts w:ascii="仿宋" w:hAnsi="仿宋" w:cs="仿宋"/>
                <w:color w:val="auto"/>
                <w:kern w:val="0"/>
                <w:sz w:val="22"/>
              </w:rPr>
            </w:pPr>
          </w:p>
        </w:tc>
        <w:tc>
          <w:tcPr>
            <w:tcW w:w="1594" w:type="dxa"/>
            <w:tcBorders>
              <w:top w:val="single" w:color="auto" w:sz="4" w:space="0"/>
              <w:bottom w:val="single" w:color="auto" w:sz="4" w:space="0"/>
            </w:tcBorders>
            <w:vAlign w:val="center"/>
          </w:tcPr>
          <w:p>
            <w:pPr>
              <w:spacing w:line="240" w:lineRule="auto"/>
              <w:ind w:firstLine="0" w:firstLineChars="0"/>
              <w:rPr>
                <w:rFonts w:ascii="仿宋_GB2312" w:hAnsi="仿宋_GB2312" w:eastAsia="仿宋_GB2312" w:cs="仿宋_GB2312"/>
                <w:bCs/>
                <w:color w:val="auto"/>
                <w:sz w:val="22"/>
              </w:rPr>
            </w:pPr>
            <w:r>
              <w:rPr>
                <w:rFonts w:ascii="仿宋_GB2312" w:hAnsi="仿宋_GB2312" w:eastAsia="仿宋_GB2312" w:cs="仿宋_GB2312"/>
                <w:bCs/>
                <w:color w:val="auto"/>
                <w:sz w:val="22"/>
              </w:rPr>
              <w:t>8:30-1</w:t>
            </w:r>
            <w:r>
              <w:rPr>
                <w:rFonts w:hint="eastAsia" w:ascii="仿宋_GB2312" w:hAnsi="仿宋_GB2312" w:eastAsia="仿宋_GB2312" w:cs="仿宋_GB2312"/>
                <w:bCs/>
                <w:color w:val="auto"/>
                <w:sz w:val="22"/>
              </w:rPr>
              <w:t>4</w:t>
            </w:r>
            <w:r>
              <w:rPr>
                <w:rFonts w:ascii="仿宋_GB2312" w:hAnsi="仿宋_GB2312" w:eastAsia="仿宋_GB2312" w:cs="仿宋_GB2312"/>
                <w:bCs/>
                <w:color w:val="auto"/>
                <w:sz w:val="22"/>
              </w:rPr>
              <w:t>:</w:t>
            </w:r>
            <w:r>
              <w:rPr>
                <w:rFonts w:hint="eastAsia" w:ascii="仿宋_GB2312" w:hAnsi="仿宋_GB2312" w:eastAsia="仿宋_GB2312" w:cs="仿宋_GB2312"/>
                <w:bCs/>
                <w:color w:val="auto"/>
                <w:sz w:val="22"/>
              </w:rPr>
              <w:t>0</w:t>
            </w:r>
            <w:r>
              <w:rPr>
                <w:rFonts w:ascii="仿宋_GB2312" w:hAnsi="仿宋_GB2312" w:eastAsia="仿宋_GB2312" w:cs="仿宋_GB2312"/>
                <w:bCs/>
                <w:color w:val="auto"/>
                <w:sz w:val="22"/>
              </w:rPr>
              <w:t xml:space="preserve">0 </w:t>
            </w:r>
          </w:p>
        </w:tc>
        <w:tc>
          <w:tcPr>
            <w:tcW w:w="2624" w:type="dxa"/>
            <w:tcBorders>
              <w:top w:val="single" w:color="auto" w:sz="4" w:space="0"/>
              <w:bottom w:val="single" w:color="auto" w:sz="4" w:space="0"/>
            </w:tcBorders>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
                <w:color w:val="auto"/>
                <w:sz w:val="22"/>
              </w:rPr>
              <w:t>技能操作竞赛</w:t>
            </w:r>
          </w:p>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（含午餐30分钟）</w:t>
            </w:r>
          </w:p>
        </w:tc>
        <w:tc>
          <w:tcPr>
            <w:tcW w:w="976" w:type="dxa"/>
            <w:tcBorders>
              <w:top w:val="single" w:color="auto" w:sz="4" w:space="0"/>
              <w:bottom w:val="single" w:color="auto" w:sz="4"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4" w:type="dxa"/>
            <w:tcBorders>
              <w:top w:val="single" w:color="auto" w:sz="4" w:space="0"/>
              <w:bottom w:val="single" w:color="auto" w:sz="4" w:space="0"/>
            </w:tcBorders>
            <w:vAlign w:val="center"/>
          </w:tcPr>
          <w:p>
            <w:pPr>
              <w:spacing w:line="240" w:lineRule="auto"/>
              <w:ind w:firstLine="0" w:firstLineChars="0"/>
              <w:jc w:val="center"/>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8" w:type="dxa"/>
            <w:vMerge w:val="continue"/>
            <w:tcBorders>
              <w:bottom w:val="single" w:color="auto" w:sz="8" w:space="0"/>
              <w:right w:val="single" w:color="auto" w:sz="8" w:space="0"/>
            </w:tcBorders>
          </w:tcPr>
          <w:p>
            <w:pPr>
              <w:spacing w:line="240" w:lineRule="auto"/>
              <w:ind w:firstLine="0" w:firstLineChars="0"/>
              <w:jc w:val="center"/>
              <w:rPr>
                <w:rFonts w:ascii="仿宋" w:hAnsi="仿宋" w:cs="仿宋"/>
                <w:color w:val="auto"/>
                <w:kern w:val="0"/>
                <w:sz w:val="22"/>
              </w:rPr>
            </w:pPr>
          </w:p>
        </w:tc>
        <w:tc>
          <w:tcPr>
            <w:tcW w:w="750" w:type="dxa"/>
            <w:vMerge w:val="continue"/>
            <w:tcBorders>
              <w:top w:val="single" w:color="auto" w:sz="4" w:space="0"/>
              <w:left w:val="single" w:color="auto" w:sz="8" w:space="0"/>
              <w:bottom w:val="single" w:color="auto" w:sz="8" w:space="0"/>
            </w:tcBorders>
          </w:tcPr>
          <w:p>
            <w:pPr>
              <w:spacing w:line="240" w:lineRule="auto"/>
              <w:ind w:firstLine="0" w:firstLineChars="0"/>
              <w:jc w:val="center"/>
              <w:rPr>
                <w:rFonts w:ascii="仿宋" w:hAnsi="仿宋" w:cs="仿宋"/>
                <w:color w:val="auto"/>
                <w:kern w:val="0"/>
                <w:sz w:val="22"/>
              </w:rPr>
            </w:pPr>
          </w:p>
        </w:tc>
        <w:tc>
          <w:tcPr>
            <w:tcW w:w="1594" w:type="dxa"/>
            <w:tcBorders>
              <w:top w:val="single" w:color="auto" w:sz="4" w:space="0"/>
              <w:bottom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14</w:t>
            </w:r>
            <w:r>
              <w:rPr>
                <w:rFonts w:ascii="仿宋_GB2312" w:hAnsi="仿宋_GB2312" w:eastAsia="仿宋_GB2312" w:cs="仿宋_GB2312"/>
                <w:bCs/>
                <w:color w:val="auto"/>
                <w:sz w:val="22"/>
              </w:rPr>
              <w:t>:30-1</w:t>
            </w:r>
            <w:r>
              <w:rPr>
                <w:rFonts w:hint="eastAsia" w:ascii="仿宋_GB2312" w:hAnsi="仿宋_GB2312" w:eastAsia="仿宋_GB2312" w:cs="仿宋_GB2312"/>
                <w:bCs/>
                <w:color w:val="auto"/>
                <w:sz w:val="22"/>
              </w:rPr>
              <w:t>6</w:t>
            </w:r>
            <w:r>
              <w:rPr>
                <w:rFonts w:ascii="仿宋_GB2312" w:hAnsi="仿宋_GB2312" w:eastAsia="仿宋_GB2312" w:cs="仿宋_GB2312"/>
                <w:bCs/>
                <w:color w:val="auto"/>
                <w:sz w:val="22"/>
              </w:rPr>
              <w:t>:</w:t>
            </w:r>
            <w:r>
              <w:rPr>
                <w:rFonts w:hint="eastAsia" w:ascii="仿宋_GB2312" w:hAnsi="仿宋_GB2312" w:eastAsia="仿宋_GB2312" w:cs="仿宋_GB2312"/>
                <w:bCs/>
                <w:color w:val="auto"/>
                <w:sz w:val="22"/>
              </w:rPr>
              <w:t>3</w:t>
            </w:r>
            <w:r>
              <w:rPr>
                <w:rFonts w:ascii="仿宋_GB2312" w:hAnsi="仿宋_GB2312" w:eastAsia="仿宋_GB2312" w:cs="仿宋_GB2312"/>
                <w:bCs/>
                <w:color w:val="auto"/>
                <w:sz w:val="22"/>
              </w:rPr>
              <w:t xml:space="preserve">0 </w:t>
            </w:r>
          </w:p>
        </w:tc>
        <w:tc>
          <w:tcPr>
            <w:tcW w:w="2624" w:type="dxa"/>
            <w:tcBorders>
              <w:top w:val="single" w:color="auto" w:sz="4" w:space="0"/>
              <w:bottom w:val="single" w:color="auto" w:sz="8" w:space="0"/>
            </w:tcBorders>
            <w:vAlign w:val="center"/>
          </w:tcPr>
          <w:p>
            <w:pPr>
              <w:spacing w:line="240" w:lineRule="auto"/>
              <w:ind w:firstLine="0" w:firstLineChars="0"/>
              <w:rPr>
                <w:rFonts w:ascii="仿宋_GB2312" w:hAnsi="仿宋_GB2312" w:eastAsia="仿宋_GB2312" w:cs="仿宋_GB2312"/>
                <w:bCs/>
                <w:color w:val="auto"/>
                <w:sz w:val="22"/>
              </w:rPr>
            </w:pPr>
            <w:r>
              <w:rPr>
                <w:rFonts w:hint="eastAsia" w:ascii="仿宋_GB2312" w:hAnsi="仿宋_GB2312" w:eastAsia="仿宋_GB2312" w:cs="仿宋_GB2312"/>
                <w:bCs/>
                <w:color w:val="auto"/>
                <w:sz w:val="22"/>
              </w:rPr>
              <w:t>裁判评分</w:t>
            </w:r>
          </w:p>
        </w:tc>
        <w:tc>
          <w:tcPr>
            <w:tcW w:w="976" w:type="dxa"/>
            <w:tcBorders>
              <w:top w:val="single" w:color="auto" w:sz="4" w:space="0"/>
              <w:bottom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tc>
        <w:tc>
          <w:tcPr>
            <w:tcW w:w="1094" w:type="dxa"/>
            <w:tcBorders>
              <w:top w:val="single" w:color="auto" w:sz="4" w:space="0"/>
              <w:bottom w:val="single" w:color="auto" w:sz="8" w:space="0"/>
            </w:tcBorders>
            <w:vAlign w:val="center"/>
          </w:tcPr>
          <w:p>
            <w:pPr>
              <w:spacing w:line="240" w:lineRule="auto"/>
              <w:ind w:firstLine="0" w:firstLineChars="0"/>
              <w:jc w:val="center"/>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8" w:type="dxa"/>
            <w:vMerge w:val="restart"/>
            <w:tcBorders>
              <w:bottom w:val="single" w:color="auto" w:sz="8" w:space="0"/>
              <w:right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赛后</w:t>
            </w:r>
          </w:p>
        </w:tc>
        <w:tc>
          <w:tcPr>
            <w:tcW w:w="750" w:type="dxa"/>
            <w:vMerge w:val="restart"/>
            <w:tcBorders>
              <w:top w:val="single" w:color="auto" w:sz="8" w:space="0"/>
              <w:left w:val="single" w:color="auto" w:sz="8" w:space="0"/>
              <w:bottom w:val="single" w:color="auto" w:sz="4"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第</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4</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天</w:t>
            </w:r>
          </w:p>
        </w:tc>
        <w:tc>
          <w:tcPr>
            <w:tcW w:w="1594" w:type="dxa"/>
            <w:tcBorders>
              <w:top w:val="single" w:color="auto" w:sz="8" w:space="0"/>
              <w:bottom w:val="single" w:color="auto" w:sz="4" w:space="0"/>
            </w:tcBorders>
            <w:vAlign w:val="center"/>
          </w:tcPr>
          <w:p>
            <w:pPr>
              <w:pStyle w:val="16"/>
              <w:autoSpaceDE/>
              <w:autoSpaceDN/>
              <w:adjustRightInd/>
              <w:jc w:val="both"/>
              <w:rPr>
                <w:rFonts w:ascii="仿宋" w:hAnsi="仿宋" w:eastAsia="仿宋" w:cs="仿宋"/>
                <w:bCs/>
                <w:color w:val="auto"/>
                <w:kern w:val="2"/>
                <w:sz w:val="22"/>
                <w:szCs w:val="22"/>
              </w:rPr>
            </w:pPr>
            <w:r>
              <w:rPr>
                <w:rFonts w:hint="eastAsia" w:ascii="仿宋" w:hAnsi="仿宋" w:eastAsia="仿宋" w:cs="仿宋"/>
                <w:bCs/>
                <w:color w:val="auto"/>
                <w:kern w:val="2"/>
                <w:sz w:val="22"/>
                <w:szCs w:val="22"/>
              </w:rPr>
              <w:t>16:30-17:30</w:t>
            </w:r>
          </w:p>
        </w:tc>
        <w:tc>
          <w:tcPr>
            <w:tcW w:w="2624" w:type="dxa"/>
            <w:tcBorders>
              <w:top w:val="single" w:color="auto" w:sz="8" w:space="0"/>
              <w:bottom w:val="single" w:color="auto" w:sz="4" w:space="0"/>
            </w:tcBorders>
            <w:vAlign w:val="center"/>
          </w:tcPr>
          <w:p>
            <w:pPr>
              <w:pStyle w:val="16"/>
              <w:autoSpaceDE/>
              <w:autoSpaceDN/>
              <w:adjustRightInd/>
              <w:jc w:val="both"/>
              <w:rPr>
                <w:rFonts w:ascii="仿宋" w:hAnsi="仿宋" w:eastAsia="仿宋" w:cs="仿宋"/>
                <w:bCs/>
                <w:color w:val="auto"/>
                <w:kern w:val="2"/>
                <w:sz w:val="22"/>
                <w:szCs w:val="22"/>
              </w:rPr>
            </w:pPr>
            <w:r>
              <w:rPr>
                <w:rFonts w:hint="eastAsia" w:ascii="仿宋" w:hAnsi="仿宋" w:eastAsia="仿宋" w:cs="仿宋"/>
                <w:bCs/>
                <w:color w:val="auto"/>
                <w:kern w:val="2"/>
                <w:sz w:val="22"/>
                <w:szCs w:val="22"/>
              </w:rPr>
              <w:t>解密，汇总成绩，公示</w:t>
            </w:r>
          </w:p>
        </w:tc>
        <w:tc>
          <w:tcPr>
            <w:tcW w:w="976" w:type="dxa"/>
            <w:tcBorders>
              <w:top w:val="single" w:color="auto" w:sz="8" w:space="0"/>
              <w:bottom w:val="single" w:color="auto" w:sz="4"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监督组</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仲裁组</w:t>
            </w:r>
          </w:p>
        </w:tc>
        <w:tc>
          <w:tcPr>
            <w:tcW w:w="1094" w:type="dxa"/>
            <w:tcBorders>
              <w:top w:val="single" w:color="auto" w:sz="8" w:space="0"/>
              <w:bottom w:val="single" w:color="auto" w:sz="4" w:space="0"/>
            </w:tcBorders>
            <w:vAlign w:val="center"/>
          </w:tcPr>
          <w:p>
            <w:pPr>
              <w:spacing w:line="240" w:lineRule="auto"/>
              <w:ind w:firstLine="0" w:firstLineChars="0"/>
              <w:jc w:val="center"/>
              <w:rPr>
                <w:rFonts w:ascii="仿宋" w:hAnsi="仿宋" w:cs="仿宋"/>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88" w:type="dxa"/>
            <w:vMerge w:val="continue"/>
            <w:tcBorders>
              <w:bottom w:val="single" w:color="auto" w:sz="8" w:space="0"/>
              <w:right w:val="single" w:color="auto" w:sz="8" w:space="0"/>
            </w:tcBorders>
          </w:tcPr>
          <w:p>
            <w:pPr>
              <w:spacing w:line="240" w:lineRule="auto"/>
              <w:ind w:firstLine="440"/>
              <w:rPr>
                <w:rFonts w:ascii="仿宋" w:hAnsi="仿宋" w:cs="仿宋"/>
                <w:color w:val="auto"/>
                <w:kern w:val="0"/>
                <w:sz w:val="22"/>
              </w:rPr>
            </w:pPr>
          </w:p>
        </w:tc>
        <w:tc>
          <w:tcPr>
            <w:tcW w:w="750" w:type="dxa"/>
            <w:vMerge w:val="continue"/>
            <w:tcBorders>
              <w:top w:val="single" w:color="auto" w:sz="4" w:space="0"/>
              <w:left w:val="single" w:color="auto" w:sz="8" w:space="0"/>
              <w:bottom w:val="single" w:color="auto" w:sz="8" w:space="0"/>
            </w:tcBorders>
          </w:tcPr>
          <w:p>
            <w:pPr>
              <w:spacing w:line="240" w:lineRule="auto"/>
              <w:ind w:firstLine="440"/>
              <w:rPr>
                <w:rFonts w:ascii="仿宋" w:hAnsi="仿宋" w:cs="仿宋"/>
                <w:color w:val="auto"/>
                <w:kern w:val="0"/>
                <w:sz w:val="22"/>
              </w:rPr>
            </w:pPr>
          </w:p>
        </w:tc>
        <w:tc>
          <w:tcPr>
            <w:tcW w:w="1594" w:type="dxa"/>
            <w:tcBorders>
              <w:top w:val="single" w:color="auto" w:sz="4" w:space="0"/>
              <w:bottom w:val="single" w:color="auto" w:sz="8" w:space="0"/>
            </w:tcBorders>
            <w:vAlign w:val="center"/>
          </w:tcPr>
          <w:p>
            <w:pPr>
              <w:pStyle w:val="16"/>
              <w:autoSpaceDE/>
              <w:autoSpaceDN/>
              <w:adjustRightInd/>
              <w:jc w:val="both"/>
              <w:rPr>
                <w:rFonts w:ascii="仿宋" w:hAnsi="仿宋" w:eastAsia="仿宋" w:cs="仿宋"/>
                <w:bCs/>
                <w:color w:val="auto"/>
                <w:kern w:val="2"/>
                <w:sz w:val="22"/>
                <w:szCs w:val="22"/>
              </w:rPr>
            </w:pPr>
            <w:r>
              <w:rPr>
                <w:rFonts w:hint="eastAsia" w:ascii="仿宋" w:hAnsi="仿宋" w:eastAsia="仿宋" w:cs="仿宋"/>
                <w:bCs/>
                <w:color w:val="auto"/>
                <w:kern w:val="2"/>
                <w:sz w:val="22"/>
                <w:szCs w:val="22"/>
              </w:rPr>
              <w:t>19:30-20:00</w:t>
            </w:r>
          </w:p>
        </w:tc>
        <w:tc>
          <w:tcPr>
            <w:tcW w:w="2624" w:type="dxa"/>
            <w:tcBorders>
              <w:top w:val="single" w:color="auto" w:sz="4" w:space="0"/>
              <w:bottom w:val="single" w:color="auto" w:sz="8" w:space="0"/>
            </w:tcBorders>
            <w:vAlign w:val="center"/>
          </w:tcPr>
          <w:p>
            <w:pPr>
              <w:pStyle w:val="16"/>
              <w:autoSpaceDE/>
              <w:autoSpaceDN/>
              <w:adjustRightInd/>
              <w:jc w:val="both"/>
              <w:rPr>
                <w:rFonts w:ascii="仿宋" w:hAnsi="仿宋" w:eastAsia="仿宋" w:cs="仿宋"/>
                <w:bCs/>
                <w:color w:val="auto"/>
                <w:kern w:val="2"/>
                <w:sz w:val="22"/>
                <w:szCs w:val="22"/>
              </w:rPr>
            </w:pPr>
            <w:r>
              <w:rPr>
                <w:rFonts w:hint="eastAsia" w:ascii="仿宋" w:hAnsi="仿宋" w:eastAsia="仿宋" w:cs="仿宋"/>
                <w:bCs/>
                <w:color w:val="auto"/>
                <w:kern w:val="2"/>
                <w:sz w:val="22"/>
                <w:szCs w:val="22"/>
              </w:rPr>
              <w:t>成绩发布会</w:t>
            </w:r>
          </w:p>
          <w:p>
            <w:pPr>
              <w:pStyle w:val="16"/>
              <w:autoSpaceDE/>
              <w:autoSpaceDN/>
              <w:adjustRightInd/>
              <w:jc w:val="both"/>
              <w:rPr>
                <w:rFonts w:ascii="仿宋" w:hAnsi="仿宋" w:eastAsia="仿宋" w:cs="仿宋"/>
                <w:bCs/>
                <w:color w:val="auto"/>
                <w:kern w:val="2"/>
                <w:sz w:val="22"/>
                <w:szCs w:val="22"/>
              </w:rPr>
            </w:pPr>
            <w:r>
              <w:rPr>
                <w:rFonts w:hint="eastAsia" w:ascii="仿宋" w:hAnsi="仿宋" w:eastAsia="仿宋" w:cs="仿宋"/>
                <w:bCs/>
                <w:color w:val="auto"/>
                <w:kern w:val="2"/>
                <w:sz w:val="22"/>
                <w:szCs w:val="22"/>
              </w:rPr>
              <w:t>宣布省集训队名单</w:t>
            </w:r>
          </w:p>
        </w:tc>
        <w:tc>
          <w:tcPr>
            <w:tcW w:w="976" w:type="dxa"/>
            <w:tcBorders>
              <w:top w:val="single" w:color="auto" w:sz="4" w:space="0"/>
              <w:bottom w:val="single" w:color="auto" w:sz="8" w:space="0"/>
            </w:tcBorders>
            <w:vAlign w:val="center"/>
          </w:tcPr>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裁判组</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监督组</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仲裁组</w:t>
            </w:r>
          </w:p>
          <w:p>
            <w:pPr>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专家组</w:t>
            </w:r>
          </w:p>
        </w:tc>
        <w:tc>
          <w:tcPr>
            <w:tcW w:w="1094" w:type="dxa"/>
            <w:tcBorders>
              <w:top w:val="single" w:color="auto" w:sz="4" w:space="0"/>
              <w:bottom w:val="single" w:color="auto" w:sz="8" w:space="0"/>
            </w:tcBorders>
            <w:vAlign w:val="center"/>
          </w:tcPr>
          <w:p>
            <w:pPr>
              <w:spacing w:line="240" w:lineRule="auto"/>
              <w:ind w:firstLine="0" w:firstLineChars="0"/>
              <w:jc w:val="center"/>
              <w:rPr>
                <w:rFonts w:ascii="仿宋" w:hAnsi="仿宋" w:cs="仿宋"/>
                <w:color w:val="auto"/>
                <w:kern w:val="0"/>
                <w:sz w:val="22"/>
              </w:rPr>
            </w:pPr>
          </w:p>
        </w:tc>
      </w:tr>
    </w:tbl>
    <w:p>
      <w:pPr>
        <w:ind w:firstLine="480"/>
        <w:rPr>
          <w:rFonts w:ascii="仿宋" w:hAnsi="仿宋" w:cs="仿宋"/>
          <w:color w:val="auto"/>
          <w:szCs w:val="24"/>
        </w:rPr>
      </w:pPr>
    </w:p>
    <w:p>
      <w:pPr>
        <w:ind w:firstLine="480"/>
        <w:rPr>
          <w:rFonts w:ascii="仿宋" w:hAnsi="仿宋" w:cs="仿宋"/>
          <w:color w:val="auto"/>
          <w:szCs w:val="24"/>
        </w:rPr>
      </w:pPr>
      <w:r>
        <w:rPr>
          <w:rFonts w:hint="eastAsia" w:ascii="仿宋" w:hAnsi="仿宋" w:cs="仿宋"/>
          <w:color w:val="auto"/>
          <w:szCs w:val="24"/>
        </w:rPr>
        <w:t>2.教师竞赛流程图如图2所示：</w:t>
      </w:r>
    </w:p>
    <w:p>
      <w:pPr>
        <w:ind w:firstLine="0" w:firstLineChars="0"/>
        <w:jc w:val="center"/>
        <w:rPr>
          <w:rFonts w:ascii="仿宋" w:hAnsi="仿宋" w:cs="仿宋"/>
          <w:color w:val="auto"/>
          <w:szCs w:val="24"/>
        </w:rPr>
      </w:pPr>
      <w:r>
        <w:rPr>
          <w:rFonts w:hint="eastAsia" w:ascii="仿宋" w:hAnsi="仿宋" w:cs="仿宋"/>
          <w:color w:val="auto"/>
          <w:szCs w:val="24"/>
        </w:rPr>
        <w:drawing>
          <wp:inline distT="0" distB="0" distL="114300" distR="114300">
            <wp:extent cx="4756150" cy="2640965"/>
            <wp:effectExtent l="0" t="0" r="6350" b="6985"/>
            <wp:docPr id="2" name="图片 2" descr="166351495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3514958946"/>
                    <pic:cNvPicPr>
                      <a:picLocks noChangeAspect="1"/>
                    </pic:cNvPicPr>
                  </pic:nvPicPr>
                  <pic:blipFill>
                    <a:blip r:embed="rId13"/>
                    <a:stretch>
                      <a:fillRect/>
                    </a:stretch>
                  </pic:blipFill>
                  <pic:spPr>
                    <a:xfrm>
                      <a:off x="0" y="0"/>
                      <a:ext cx="4756150" cy="2640965"/>
                    </a:xfrm>
                    <a:prstGeom prst="rect">
                      <a:avLst/>
                    </a:prstGeom>
                  </pic:spPr>
                </pic:pic>
              </a:graphicData>
            </a:graphic>
          </wp:inline>
        </w:drawing>
      </w:r>
    </w:p>
    <w:p>
      <w:pPr>
        <w:ind w:firstLine="480"/>
        <w:jc w:val="center"/>
        <w:rPr>
          <w:rFonts w:ascii="仿宋" w:hAnsi="仿宋" w:cs="仿宋"/>
          <w:color w:val="auto"/>
          <w:szCs w:val="24"/>
        </w:rPr>
      </w:pPr>
      <w:r>
        <w:rPr>
          <w:rFonts w:hint="eastAsia" w:ascii="仿宋_GB2312" w:hAnsi="仿宋_GB2312" w:eastAsia="仿宋_GB2312" w:cs="仿宋_GB2312"/>
          <w:color w:val="auto"/>
          <w:szCs w:val="24"/>
        </w:rPr>
        <w:t xml:space="preserve">图2. </w:t>
      </w:r>
      <w:r>
        <w:rPr>
          <w:rFonts w:hint="eastAsia" w:ascii="仿宋" w:hAnsi="仿宋" w:cs="仿宋"/>
          <w:color w:val="auto"/>
          <w:szCs w:val="24"/>
        </w:rPr>
        <w:t>教师组建筑装饰技能赛项竞赛流程图</w:t>
      </w:r>
    </w:p>
    <w:p>
      <w:pPr>
        <w:spacing w:beforeLines="50"/>
        <w:ind w:firstLine="0" w:firstLineChars="0"/>
        <w:rPr>
          <w:rFonts w:ascii="仿宋" w:hAnsi="仿宋" w:cs="仿宋"/>
          <w:b/>
          <w:color w:val="auto"/>
          <w:szCs w:val="24"/>
        </w:rPr>
      </w:pPr>
      <w:r>
        <w:rPr>
          <w:rFonts w:hint="eastAsia" w:ascii="仿宋" w:hAnsi="仿宋" w:cs="仿宋"/>
          <w:b/>
          <w:color w:val="auto"/>
          <w:szCs w:val="24"/>
        </w:rPr>
        <w:t>六、竞赛赛卷</w:t>
      </w:r>
    </w:p>
    <w:p>
      <w:pPr>
        <w:numPr>
          <w:ilvl w:val="0"/>
          <w:numId w:val="1"/>
        </w:numPr>
        <w:ind w:firstLine="480"/>
        <w:rPr>
          <w:rFonts w:ascii="仿宋" w:hAnsi="仿宋" w:cs="仿宋"/>
          <w:bCs/>
          <w:color w:val="auto"/>
          <w:szCs w:val="24"/>
        </w:rPr>
      </w:pPr>
      <w:r>
        <w:rPr>
          <w:rFonts w:hint="eastAsia" w:ascii="仿宋" w:hAnsi="仿宋" w:cs="仿宋"/>
          <w:bCs/>
          <w:color w:val="auto"/>
          <w:szCs w:val="24"/>
        </w:rPr>
        <w:t>学生组赛卷</w:t>
      </w:r>
    </w:p>
    <w:p>
      <w:pPr>
        <w:ind w:firstLine="0" w:firstLineChars="0"/>
        <w:rPr>
          <w:rFonts w:ascii="仿宋" w:hAnsi="仿宋" w:cs="仿宋"/>
          <w:bCs/>
          <w:color w:val="auto"/>
          <w:szCs w:val="24"/>
        </w:rPr>
      </w:pPr>
      <w:r>
        <w:rPr>
          <w:rFonts w:hint="eastAsia" w:ascii="仿宋" w:hAnsi="仿宋" w:cs="仿宋"/>
          <w:bCs/>
          <w:color w:val="auto"/>
          <w:szCs w:val="24"/>
        </w:rPr>
        <w:t xml:space="preserve">     专家组根据学生组竞赛内容命题，制作三套学生竞赛用赛卷。比赛时由监督员抽取其中一套赛卷进行比赛。为贯彻公开、公平、公正原则，本赛卷的样卷见附件一、学生组赛卷样卷。</w:t>
      </w:r>
    </w:p>
    <w:p>
      <w:pPr>
        <w:numPr>
          <w:ilvl w:val="0"/>
          <w:numId w:val="1"/>
        </w:numPr>
        <w:ind w:firstLine="480"/>
        <w:rPr>
          <w:rFonts w:ascii="仿宋" w:hAnsi="仿宋" w:cs="仿宋"/>
          <w:bCs/>
          <w:color w:val="auto"/>
          <w:szCs w:val="24"/>
        </w:rPr>
      </w:pPr>
      <w:r>
        <w:rPr>
          <w:rFonts w:hint="eastAsia" w:ascii="仿宋" w:hAnsi="仿宋" w:cs="仿宋"/>
          <w:bCs/>
          <w:color w:val="auto"/>
          <w:szCs w:val="24"/>
        </w:rPr>
        <w:t>教师组赛卷</w:t>
      </w:r>
    </w:p>
    <w:p>
      <w:pPr>
        <w:ind w:firstLine="0" w:firstLineChars="0"/>
        <w:rPr>
          <w:rFonts w:ascii="仿宋" w:hAnsi="仿宋" w:cs="仿宋"/>
          <w:bCs/>
          <w:color w:val="auto"/>
          <w:szCs w:val="24"/>
        </w:rPr>
      </w:pPr>
      <w:r>
        <w:rPr>
          <w:rFonts w:hint="eastAsia" w:ascii="仿宋" w:hAnsi="仿宋" w:cs="仿宋"/>
          <w:bCs/>
          <w:color w:val="auto"/>
          <w:szCs w:val="24"/>
        </w:rPr>
        <w:t xml:space="preserve">    专家组根据教师组竞赛内容命题，制作三套教师竞赛用赛卷，比赛时由监督员抽取其中一套赛卷进行比赛。为贯彻公开、公平、公正原则，本赛卷</w:t>
      </w:r>
      <w:r>
        <w:rPr>
          <w:rFonts w:hint="eastAsia" w:ascii="仿宋" w:hAnsi="仿宋" w:cs="仿宋"/>
          <w:bCs/>
          <w:color w:val="auto"/>
          <w:sz w:val="21"/>
          <w:szCs w:val="21"/>
        </w:rPr>
        <w:t>的</w:t>
      </w:r>
      <w:r>
        <w:rPr>
          <w:rFonts w:hint="eastAsia" w:ascii="仿宋" w:hAnsi="仿宋" w:cs="仿宋"/>
          <w:bCs/>
          <w:color w:val="auto"/>
          <w:szCs w:val="24"/>
        </w:rPr>
        <w:t>样卷与学生组相同。</w:t>
      </w:r>
    </w:p>
    <w:p>
      <w:pPr>
        <w:spacing w:beforeLines="50"/>
        <w:ind w:firstLine="0" w:firstLineChars="0"/>
        <w:rPr>
          <w:rFonts w:ascii="仿宋" w:hAnsi="仿宋" w:cs="仿宋"/>
          <w:b/>
          <w:color w:val="auto"/>
          <w:szCs w:val="24"/>
        </w:rPr>
      </w:pPr>
      <w:r>
        <w:rPr>
          <w:rFonts w:hint="eastAsia" w:ascii="仿宋" w:hAnsi="仿宋" w:cs="仿宋"/>
          <w:b/>
          <w:color w:val="auto"/>
          <w:szCs w:val="24"/>
        </w:rPr>
        <w:t>七、竞赛规则</w:t>
      </w:r>
    </w:p>
    <w:p>
      <w:pPr>
        <w:ind w:left="480" w:leftChars="200" w:firstLine="0" w:firstLineChars="0"/>
        <w:rPr>
          <w:rFonts w:ascii="仿宋" w:hAnsi="仿宋" w:cs="仿宋"/>
          <w:bCs/>
          <w:color w:val="auto"/>
          <w:szCs w:val="24"/>
        </w:rPr>
      </w:pPr>
      <w:r>
        <w:rPr>
          <w:rFonts w:hint="eastAsia" w:ascii="仿宋" w:hAnsi="仿宋" w:cs="仿宋"/>
          <w:bCs/>
          <w:color w:val="auto"/>
          <w:szCs w:val="24"/>
        </w:rPr>
        <w:t>（一）选手报名</w:t>
      </w:r>
    </w:p>
    <w:p>
      <w:pPr>
        <w:ind w:firstLine="480"/>
        <w:rPr>
          <w:rFonts w:ascii="仿宋" w:hAnsi="仿宋" w:cs="仿宋"/>
          <w:bCs/>
          <w:color w:val="auto"/>
          <w:szCs w:val="24"/>
        </w:rPr>
      </w:pPr>
      <w:r>
        <w:rPr>
          <w:rFonts w:ascii="仿宋" w:hAnsi="仿宋" w:cs="仿宋"/>
          <w:bCs/>
          <w:color w:val="auto"/>
          <w:szCs w:val="24"/>
        </w:rPr>
        <w:t>1</w:t>
      </w:r>
      <w:r>
        <w:rPr>
          <w:rFonts w:hint="eastAsia" w:ascii="仿宋" w:hAnsi="仿宋" w:cs="仿宋"/>
          <w:bCs/>
          <w:color w:val="auto"/>
          <w:szCs w:val="24"/>
        </w:rPr>
        <w:t>.学生</w:t>
      </w:r>
      <w:r>
        <w:rPr>
          <w:rFonts w:ascii="仿宋" w:hAnsi="仿宋" w:cs="仿宋"/>
          <w:bCs/>
          <w:color w:val="auto"/>
          <w:szCs w:val="24"/>
        </w:rPr>
        <w:t>组参赛对象为中等职业学校（含技工学校）在校生及五年制高职一至三年级学生；教师组参赛对象为中等职业学校在编教师或已连续聘用的在聘教师（即2020年9月以前在聘教师）。获得过省赛、国赛学生组一等奖的学生选手不得参加同一</w:t>
      </w:r>
      <w:r>
        <w:rPr>
          <w:rFonts w:hint="eastAsia" w:ascii="仿宋" w:hAnsi="仿宋" w:cs="仿宋"/>
          <w:bCs/>
          <w:color w:val="auto"/>
          <w:szCs w:val="24"/>
        </w:rPr>
        <w:t>赛</w:t>
      </w:r>
      <w:r>
        <w:rPr>
          <w:rFonts w:ascii="仿宋" w:hAnsi="仿宋" w:cs="仿宋"/>
          <w:bCs/>
          <w:color w:val="auto"/>
          <w:szCs w:val="24"/>
        </w:rPr>
        <w:t>项2023年度竞赛。获2021年、2022年教师组一等奖的教师不得参加2023年同一</w:t>
      </w:r>
      <w:r>
        <w:rPr>
          <w:rFonts w:hint="eastAsia" w:ascii="仿宋" w:hAnsi="仿宋" w:cs="仿宋"/>
          <w:bCs/>
          <w:color w:val="auto"/>
          <w:szCs w:val="24"/>
        </w:rPr>
        <w:t>赛</w:t>
      </w:r>
      <w:r>
        <w:rPr>
          <w:rFonts w:ascii="仿宋" w:hAnsi="仿宋" w:cs="仿宋"/>
          <w:bCs/>
          <w:color w:val="auto"/>
          <w:szCs w:val="24"/>
        </w:rPr>
        <w:t>项竞赛。</w:t>
      </w:r>
    </w:p>
    <w:p>
      <w:pPr>
        <w:ind w:firstLine="480"/>
        <w:rPr>
          <w:rFonts w:ascii="仿宋" w:hAnsi="仿宋" w:cs="仿宋"/>
          <w:bCs/>
          <w:color w:val="auto"/>
          <w:szCs w:val="24"/>
        </w:rPr>
      </w:pPr>
      <w:r>
        <w:rPr>
          <w:rFonts w:hint="eastAsia" w:ascii="仿宋" w:hAnsi="仿宋" w:cs="仿宋"/>
          <w:bCs/>
          <w:color w:val="auto"/>
          <w:szCs w:val="24"/>
        </w:rPr>
        <w:t>2.</w:t>
      </w:r>
      <w:r>
        <w:rPr>
          <w:rFonts w:ascii="仿宋" w:hAnsi="仿宋" w:cs="仿宋"/>
          <w:bCs/>
          <w:color w:val="auto"/>
          <w:szCs w:val="24"/>
        </w:rPr>
        <w:t>团体赛不得跨校组队，同一学校相同项目报名参赛队</w:t>
      </w:r>
      <w:r>
        <w:rPr>
          <w:rFonts w:hint="eastAsia" w:ascii="仿宋" w:hAnsi="仿宋" w:cs="仿宋"/>
          <w:bCs/>
          <w:color w:val="auto"/>
          <w:szCs w:val="24"/>
        </w:rPr>
        <w:t>原则上</w:t>
      </w:r>
      <w:r>
        <w:rPr>
          <w:rFonts w:ascii="仿宋" w:hAnsi="仿宋" w:cs="仿宋"/>
          <w:bCs/>
          <w:color w:val="auto"/>
          <w:szCs w:val="24"/>
        </w:rPr>
        <w:t>不超过1支；个人赛同一学校相同项目报名人数原则上不超过2人</w:t>
      </w:r>
      <w:r>
        <w:rPr>
          <w:rFonts w:hint="eastAsia" w:ascii="仿宋" w:hAnsi="仿宋" w:cs="仿宋"/>
          <w:bCs/>
          <w:color w:val="auto"/>
          <w:szCs w:val="24"/>
        </w:rPr>
        <w:t>。</w:t>
      </w:r>
    </w:p>
    <w:p>
      <w:pPr>
        <w:ind w:firstLine="480"/>
        <w:rPr>
          <w:rFonts w:ascii="仿宋" w:hAnsi="仿宋" w:cs="仿宋"/>
          <w:bCs/>
          <w:color w:val="auto"/>
          <w:szCs w:val="24"/>
        </w:rPr>
      </w:pPr>
      <w:r>
        <w:rPr>
          <w:rFonts w:hint="eastAsia" w:ascii="仿宋" w:hAnsi="仿宋" w:cs="仿宋"/>
          <w:bCs/>
          <w:color w:val="auto"/>
          <w:szCs w:val="24"/>
        </w:rPr>
        <w:t>3.各职业院校按照大赛组委会规定的报名要求，通过“江苏省职业院校技能大赛网络报名系统”报名参赛。</w:t>
      </w:r>
    </w:p>
    <w:p>
      <w:pPr>
        <w:ind w:firstLine="480"/>
        <w:rPr>
          <w:rFonts w:ascii="仿宋" w:hAnsi="仿宋" w:cs="仿宋"/>
          <w:bCs/>
          <w:color w:val="auto"/>
          <w:szCs w:val="24"/>
        </w:rPr>
      </w:pPr>
      <w:r>
        <w:rPr>
          <w:rFonts w:ascii="仿宋" w:hAnsi="仿宋" w:cs="仿宋"/>
          <w:bCs/>
          <w:color w:val="auto"/>
          <w:szCs w:val="24"/>
        </w:rPr>
        <w:t>4.参赛选手和指导教师报名，获得确认后不得随意更换。比赛前参赛选手和指导教师因故无法参赛，须由学校在相应赛项开赛前10个工作日出具书面说明，并按参赛选手资格补充人员并接受审核，经省大赛组委会办公室同意后予以更换。</w:t>
      </w:r>
    </w:p>
    <w:p>
      <w:pPr>
        <w:ind w:left="480" w:leftChars="200" w:firstLine="0" w:firstLineChars="0"/>
        <w:rPr>
          <w:rFonts w:ascii="仿宋" w:hAnsi="仿宋" w:cs="仿宋"/>
          <w:bCs/>
          <w:color w:val="auto"/>
          <w:szCs w:val="24"/>
        </w:rPr>
      </w:pPr>
      <w:r>
        <w:rPr>
          <w:rFonts w:hint="eastAsia" w:ascii="仿宋" w:hAnsi="仿宋" w:cs="仿宋"/>
          <w:bCs/>
          <w:color w:val="auto"/>
          <w:szCs w:val="24"/>
        </w:rPr>
        <w:t>5</w:t>
      </w:r>
      <w:r>
        <w:rPr>
          <w:rFonts w:ascii="仿宋" w:hAnsi="仿宋" w:cs="仿宋"/>
          <w:bCs/>
          <w:color w:val="auto"/>
          <w:szCs w:val="24"/>
        </w:rPr>
        <w:t>.各设区</w:t>
      </w:r>
      <w:r>
        <w:rPr>
          <w:rFonts w:hint="eastAsia" w:ascii="仿宋" w:hAnsi="仿宋" w:cs="仿宋"/>
          <w:bCs/>
          <w:color w:val="auto"/>
          <w:szCs w:val="24"/>
        </w:rPr>
        <w:t>市</w:t>
      </w:r>
      <w:r>
        <w:rPr>
          <w:rFonts w:ascii="仿宋" w:hAnsi="仿宋" w:cs="仿宋"/>
          <w:bCs/>
          <w:color w:val="auto"/>
          <w:szCs w:val="24"/>
        </w:rPr>
        <w:t>教育行政部门负责本地参赛</w:t>
      </w:r>
      <w:r>
        <w:rPr>
          <w:rFonts w:hint="eastAsia" w:ascii="仿宋" w:hAnsi="仿宋" w:cs="仿宋"/>
          <w:bCs/>
          <w:color w:val="auto"/>
          <w:szCs w:val="24"/>
        </w:rPr>
        <w:t>师</w:t>
      </w:r>
      <w:r>
        <w:rPr>
          <w:rFonts w:ascii="仿宋" w:hAnsi="仿宋" w:cs="仿宋"/>
          <w:bCs/>
          <w:color w:val="auto"/>
          <w:szCs w:val="24"/>
        </w:rPr>
        <w:t>生的资格审查工作。</w:t>
      </w:r>
    </w:p>
    <w:p>
      <w:pPr>
        <w:ind w:left="480" w:leftChars="200" w:firstLine="0" w:firstLineChars="0"/>
        <w:rPr>
          <w:rFonts w:ascii="仿宋" w:hAnsi="仿宋" w:cs="仿宋"/>
          <w:bCs/>
          <w:color w:val="auto"/>
          <w:szCs w:val="24"/>
        </w:rPr>
      </w:pPr>
      <w:r>
        <w:rPr>
          <w:rFonts w:hint="eastAsia" w:ascii="仿宋" w:hAnsi="仿宋" w:cs="仿宋"/>
          <w:bCs/>
          <w:color w:val="auto"/>
          <w:szCs w:val="24"/>
        </w:rPr>
        <w:t>（二）熟悉场地</w:t>
      </w:r>
    </w:p>
    <w:p>
      <w:pPr>
        <w:ind w:firstLine="480"/>
        <w:rPr>
          <w:rFonts w:ascii="仿宋" w:hAnsi="仿宋" w:cs="仿宋"/>
          <w:bCs/>
          <w:color w:val="auto"/>
          <w:szCs w:val="24"/>
        </w:rPr>
      </w:pPr>
      <w:r>
        <w:rPr>
          <w:rFonts w:ascii="仿宋" w:hAnsi="仿宋" w:cs="仿宋"/>
          <w:bCs/>
          <w:color w:val="auto"/>
          <w:szCs w:val="24"/>
        </w:rPr>
        <w:t>比赛前一天下午安排参赛队熟悉比赛场地，召开领队会议，宣布竞赛纪律和有关事宜。</w:t>
      </w:r>
    </w:p>
    <w:p>
      <w:pPr>
        <w:ind w:firstLine="480"/>
        <w:rPr>
          <w:rFonts w:ascii="仿宋" w:hAnsi="仿宋" w:cs="仿宋"/>
          <w:bCs/>
          <w:color w:val="auto"/>
          <w:szCs w:val="24"/>
        </w:rPr>
      </w:pPr>
      <w:r>
        <w:rPr>
          <w:rFonts w:hint="eastAsia" w:ascii="仿宋" w:hAnsi="仿宋" w:cs="仿宋"/>
          <w:bCs/>
          <w:color w:val="auto"/>
          <w:szCs w:val="24"/>
        </w:rPr>
        <w:t>（三）赛场规范</w:t>
      </w:r>
    </w:p>
    <w:p>
      <w:pPr>
        <w:ind w:firstLine="480"/>
        <w:rPr>
          <w:rFonts w:ascii="仿宋" w:hAnsi="仿宋" w:cs="仿宋"/>
          <w:bCs/>
          <w:color w:val="auto"/>
          <w:szCs w:val="24"/>
        </w:rPr>
      </w:pPr>
      <w:r>
        <w:rPr>
          <w:rFonts w:hint="eastAsia" w:ascii="仿宋" w:hAnsi="仿宋" w:cs="仿宋"/>
          <w:bCs/>
          <w:color w:val="auto"/>
          <w:szCs w:val="24"/>
        </w:rPr>
        <w:t>1.严格执行江苏省职业院校技能大赛有关制度，公平、公开、公正举办承办比赛；</w:t>
      </w:r>
    </w:p>
    <w:p>
      <w:pPr>
        <w:ind w:firstLine="480"/>
        <w:rPr>
          <w:rFonts w:ascii="仿宋" w:hAnsi="仿宋" w:cs="仿宋"/>
          <w:bCs/>
          <w:color w:val="auto"/>
          <w:szCs w:val="24"/>
        </w:rPr>
      </w:pPr>
      <w:r>
        <w:rPr>
          <w:rFonts w:hint="eastAsia" w:ascii="仿宋" w:hAnsi="仿宋" w:cs="仿宋"/>
          <w:bCs/>
          <w:color w:val="auto"/>
          <w:szCs w:val="24"/>
        </w:rPr>
        <w:t>2.承办校严格执行建筑装饰技能赛项竞赛规程，场地、设备、水电等硬件设施满足竞赛要求，工作人员安排合理，保障到位，赛前进行必要的演练和压力测试；</w:t>
      </w:r>
    </w:p>
    <w:p>
      <w:pPr>
        <w:ind w:firstLine="480"/>
        <w:rPr>
          <w:rFonts w:ascii="仿宋" w:hAnsi="仿宋" w:cs="仿宋"/>
          <w:bCs/>
          <w:color w:val="auto"/>
          <w:szCs w:val="24"/>
        </w:rPr>
      </w:pPr>
      <w:r>
        <w:rPr>
          <w:rFonts w:hint="eastAsia" w:ascii="仿宋" w:hAnsi="仿宋" w:cs="仿宋"/>
          <w:bCs/>
          <w:color w:val="auto"/>
          <w:szCs w:val="24"/>
        </w:rPr>
        <w:t>3.参赛队严格按照建筑装饰技能赛项竞赛规程和竞赛指南参加比赛，严格执行竞赛流程和竞赛纪律，文明参赛；</w:t>
      </w:r>
    </w:p>
    <w:p>
      <w:pPr>
        <w:ind w:firstLine="480"/>
        <w:rPr>
          <w:rFonts w:ascii="仿宋" w:hAnsi="仿宋" w:cs="仿宋"/>
          <w:bCs/>
          <w:color w:val="auto"/>
          <w:szCs w:val="24"/>
        </w:rPr>
      </w:pPr>
      <w:r>
        <w:rPr>
          <w:rFonts w:hint="eastAsia" w:ascii="仿宋" w:hAnsi="仿宋" w:cs="仿宋"/>
          <w:bCs/>
          <w:color w:val="auto"/>
          <w:szCs w:val="24"/>
        </w:rPr>
        <w:t>4.维护良好的赛场秩序，各负其责，分工协作，赛场文化布置合理，赛场宣传到位；</w:t>
      </w:r>
    </w:p>
    <w:p>
      <w:pPr>
        <w:ind w:firstLine="480"/>
        <w:rPr>
          <w:rFonts w:ascii="仿宋" w:hAnsi="仿宋" w:cs="仿宋"/>
          <w:bCs/>
          <w:color w:val="auto"/>
          <w:szCs w:val="24"/>
        </w:rPr>
      </w:pPr>
      <w:r>
        <w:rPr>
          <w:rFonts w:hint="eastAsia" w:ascii="仿宋" w:hAnsi="仿宋" w:cs="仿宋"/>
          <w:bCs/>
          <w:color w:val="auto"/>
          <w:szCs w:val="24"/>
        </w:rPr>
        <w:t>5.应急设施良好，保障措施完备，充分检查和演练，做到有备无患。</w:t>
      </w:r>
    </w:p>
    <w:p>
      <w:pPr>
        <w:ind w:left="480" w:leftChars="200" w:firstLine="0" w:firstLineChars="0"/>
        <w:rPr>
          <w:rFonts w:ascii="仿宋" w:hAnsi="仿宋" w:cs="仿宋"/>
          <w:bCs/>
          <w:color w:val="auto"/>
          <w:szCs w:val="24"/>
        </w:rPr>
      </w:pPr>
      <w:r>
        <w:rPr>
          <w:rFonts w:hint="eastAsia" w:ascii="仿宋" w:hAnsi="仿宋" w:cs="仿宋"/>
          <w:bCs/>
          <w:color w:val="auto"/>
          <w:szCs w:val="24"/>
        </w:rPr>
        <w:t>（四）成绩评定与结果公布</w:t>
      </w:r>
    </w:p>
    <w:p>
      <w:pPr>
        <w:ind w:firstLine="480"/>
        <w:rPr>
          <w:bCs/>
          <w:color w:val="auto"/>
        </w:rPr>
      </w:pPr>
      <w:r>
        <w:rPr>
          <w:rFonts w:hint="eastAsia"/>
          <w:color w:val="auto"/>
        </w:rPr>
        <w:t>成绩评定和结果公布由</w:t>
      </w:r>
      <w:r>
        <w:rPr>
          <w:rFonts w:hint="eastAsia"/>
          <w:bCs/>
          <w:color w:val="auto"/>
        </w:rPr>
        <w:t>裁判组、监督组和仲裁组组成的成绩管理机构负责。</w:t>
      </w:r>
    </w:p>
    <w:p>
      <w:pPr>
        <w:ind w:firstLine="480"/>
        <w:rPr>
          <w:bCs/>
          <w:color w:val="auto"/>
        </w:rPr>
      </w:pPr>
      <w:r>
        <w:rPr>
          <w:rFonts w:hint="eastAsia"/>
          <w:bCs/>
          <w:color w:val="auto"/>
        </w:rPr>
        <w:t>1.裁判组实行“裁判长负责制”，设裁判长1名，全面负责赛项的裁判分工、裁判评分审核、处理比赛中出现的争议问题等工作。</w:t>
      </w:r>
    </w:p>
    <w:p>
      <w:pPr>
        <w:ind w:firstLine="0" w:firstLineChars="0"/>
        <w:rPr>
          <w:bCs/>
          <w:color w:val="auto"/>
        </w:rPr>
      </w:pPr>
      <w:r>
        <w:rPr>
          <w:rFonts w:hint="eastAsia"/>
          <w:bCs/>
          <w:color w:val="auto"/>
        </w:rPr>
        <w:t xml:space="preserve">    2.裁判员根据比赛需要分为检录裁判、加密裁判、现场裁判和评分裁判。</w:t>
      </w:r>
    </w:p>
    <w:p>
      <w:pPr>
        <w:ind w:firstLine="480"/>
        <w:rPr>
          <w:bCs/>
          <w:color w:val="auto"/>
        </w:rPr>
      </w:pPr>
      <w:r>
        <w:rPr>
          <w:rFonts w:hint="eastAsia"/>
          <w:bCs/>
          <w:color w:val="auto"/>
        </w:rPr>
        <w:t>检录裁判：负责对参赛队伍（选手）进行点名登记、身份核对等工作；</w:t>
      </w:r>
    </w:p>
    <w:p>
      <w:pPr>
        <w:ind w:firstLine="480"/>
        <w:rPr>
          <w:bCs/>
          <w:color w:val="auto"/>
        </w:rPr>
      </w:pPr>
      <w:r>
        <w:rPr>
          <w:rFonts w:hint="eastAsia"/>
          <w:bCs/>
          <w:color w:val="auto"/>
        </w:rPr>
        <w:t>加密裁判：负责组织参赛队伍（选手）抽签，对参赛队信息、抽签代码等进行加密；</w:t>
      </w:r>
    </w:p>
    <w:p>
      <w:pPr>
        <w:ind w:firstLine="480"/>
        <w:rPr>
          <w:bCs/>
          <w:color w:val="auto"/>
        </w:rPr>
      </w:pPr>
      <w:r>
        <w:rPr>
          <w:rFonts w:hint="eastAsia"/>
          <w:bCs/>
          <w:color w:val="auto"/>
        </w:rPr>
        <w:t>现场裁判：按规定做好赛场记录，维护赛场纪律，评定参赛队的过程得分；</w:t>
      </w:r>
    </w:p>
    <w:p>
      <w:pPr>
        <w:ind w:firstLine="480"/>
        <w:rPr>
          <w:bCs/>
          <w:color w:val="auto"/>
        </w:rPr>
      </w:pPr>
      <w:r>
        <w:rPr>
          <w:rFonts w:hint="eastAsia"/>
          <w:bCs/>
          <w:color w:val="auto"/>
        </w:rPr>
        <w:t>评分裁判：负责按评分细则评定成绩。</w:t>
      </w:r>
    </w:p>
    <w:p>
      <w:pPr>
        <w:ind w:firstLine="480"/>
        <w:rPr>
          <w:bCs/>
          <w:color w:val="auto"/>
        </w:rPr>
      </w:pPr>
      <w:r>
        <w:rPr>
          <w:rFonts w:hint="eastAsia"/>
          <w:bCs/>
          <w:color w:val="auto"/>
        </w:rPr>
        <w:t>3.监督组对裁判组的工作进行全程监督，并对竞赛成绩抽检复核。</w:t>
      </w:r>
    </w:p>
    <w:p>
      <w:pPr>
        <w:ind w:firstLine="480"/>
        <w:rPr>
          <w:bCs/>
          <w:color w:val="auto"/>
        </w:rPr>
      </w:pPr>
      <w:r>
        <w:rPr>
          <w:rFonts w:hint="eastAsia"/>
          <w:bCs/>
          <w:color w:val="auto"/>
        </w:rPr>
        <w:t>4.仲裁组负责接受由参赛队领队提出的对裁判结果的申诉，组织复议并及时反馈复议结果。</w:t>
      </w:r>
    </w:p>
    <w:p>
      <w:pPr>
        <w:ind w:firstLine="480"/>
        <w:rPr>
          <w:bCs/>
          <w:color w:val="auto"/>
        </w:rPr>
      </w:pPr>
      <w:r>
        <w:rPr>
          <w:rFonts w:hint="eastAsia"/>
          <w:bCs/>
          <w:color w:val="auto"/>
        </w:rPr>
        <w:t>5.最终成绩经裁判组、监督组和仲裁组审核无误后正式公布。</w:t>
      </w:r>
    </w:p>
    <w:p>
      <w:pPr>
        <w:spacing w:beforeLines="50"/>
        <w:ind w:firstLine="0" w:firstLineChars="0"/>
        <w:rPr>
          <w:rFonts w:ascii="仿宋" w:hAnsi="仿宋" w:cs="仿宋"/>
          <w:b/>
          <w:color w:val="auto"/>
          <w:szCs w:val="24"/>
        </w:rPr>
      </w:pPr>
      <w:r>
        <w:rPr>
          <w:rFonts w:hint="eastAsia" w:ascii="仿宋" w:hAnsi="仿宋" w:cs="仿宋"/>
          <w:b/>
          <w:color w:val="auto"/>
          <w:szCs w:val="24"/>
        </w:rPr>
        <w:t>八、竞赛环境</w:t>
      </w:r>
    </w:p>
    <w:p>
      <w:pPr>
        <w:autoSpaceDE w:val="0"/>
        <w:autoSpaceDN w:val="0"/>
        <w:ind w:left="480" w:firstLine="0" w:firstLineChars="0"/>
        <w:rPr>
          <w:rFonts w:ascii="仿宋" w:hAnsi="仿宋" w:cs="Times New Roman"/>
          <w:color w:val="auto"/>
          <w:kern w:val="0"/>
          <w:szCs w:val="24"/>
        </w:rPr>
      </w:pPr>
      <w:r>
        <w:rPr>
          <w:rFonts w:hint="eastAsia" w:ascii="仿宋" w:hAnsi="仿宋" w:cs="Times New Roman"/>
          <w:color w:val="auto"/>
          <w:kern w:val="0"/>
          <w:szCs w:val="24"/>
        </w:rPr>
        <w:t>（一）竞赛场地安排</w:t>
      </w:r>
    </w:p>
    <w:p>
      <w:pPr>
        <w:pStyle w:val="16"/>
        <w:spacing w:line="360" w:lineRule="auto"/>
        <w:ind w:firstLine="564"/>
        <w:rPr>
          <w:rFonts w:ascii="仿宋_GB2312" w:hAnsi="仿宋_GB2312" w:eastAsia="仿宋_GB2312" w:cs="仿宋_GB2312"/>
          <w:color w:val="auto"/>
        </w:rPr>
      </w:pPr>
      <w:r>
        <w:rPr>
          <w:rFonts w:hint="eastAsia" w:ascii="仿宋_GB2312" w:hAnsi="仿宋_GB2312" w:eastAsia="仿宋_GB2312" w:cs="仿宋_GB2312"/>
          <w:color w:val="auto"/>
        </w:rPr>
        <w:t>1. 施工操作单个工位安排见图3～图7。</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4"/>
        <w:gridCol w:w="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23" w:hRule="atLeast"/>
        </w:trPr>
        <w:tc>
          <w:tcPr>
            <w:tcW w:w="8504" w:type="dxa"/>
            <w:tcBorders>
              <w:top w:val="nil"/>
              <w:left w:val="nil"/>
              <w:bottom w:val="nil"/>
              <w:right w:val="nil"/>
            </w:tcBorders>
          </w:tcPr>
          <w:p>
            <w:pPr>
              <w:autoSpaceDE w:val="0"/>
              <w:autoSpaceDN w:val="0"/>
              <w:spacing w:line="240" w:lineRule="auto"/>
              <w:ind w:firstLine="0" w:firstLineChars="0"/>
              <w:jc w:val="center"/>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drawing>
                <wp:inline distT="0" distB="0" distL="0" distR="0">
                  <wp:extent cx="4183380" cy="3347720"/>
                  <wp:effectExtent l="19050" t="0" r="7570" b="0"/>
                  <wp:docPr id="12" name="图片 3" descr="工位立体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工位立体图"/>
                          <pic:cNvPicPr>
                            <a:picLocks noChangeAspect="1"/>
                          </pic:cNvPicPr>
                        </pic:nvPicPr>
                        <pic:blipFill>
                          <a:blip r:embed="rId14"/>
                          <a:stretch>
                            <a:fillRect/>
                          </a:stretch>
                        </pic:blipFill>
                        <pic:spPr>
                          <a:xfrm>
                            <a:off x="0" y="0"/>
                            <a:ext cx="4183430" cy="3348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22" w:type="dxa"/>
            <w:gridSpan w:val="2"/>
            <w:tcBorders>
              <w:top w:val="nil"/>
              <w:left w:val="nil"/>
              <w:bottom w:val="nil"/>
              <w:right w:val="nil"/>
            </w:tcBorders>
          </w:tcPr>
          <w:p>
            <w:pPr>
              <w:autoSpaceDE w:val="0"/>
              <w:autoSpaceDN w:val="0"/>
              <w:spacing w:line="500" w:lineRule="exact"/>
              <w:ind w:firstLine="0" w:firstLineChars="0"/>
              <w:jc w:val="center"/>
              <w:rPr>
                <w:rFonts w:ascii="仿宋_GB2312" w:hAnsi="仿宋_GB2312" w:eastAsia="仿宋_GB2312" w:cs="仿宋_GB2312"/>
                <w:color w:val="auto"/>
                <w:sz w:val="28"/>
                <w:szCs w:val="28"/>
              </w:rPr>
            </w:pPr>
            <w:r>
              <w:rPr>
                <w:rFonts w:hint="eastAsia" w:ascii="仿宋_GB2312" w:hAnsi="仿宋_GB2312" w:eastAsia="仿宋_GB2312" w:cs="仿宋_GB2312"/>
                <w:color w:val="auto"/>
                <w:szCs w:val="24"/>
              </w:rPr>
              <w:t>图3. 施工操作工位示意图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22" w:type="dxa"/>
            <w:gridSpan w:val="2"/>
            <w:tcBorders>
              <w:top w:val="nil"/>
              <w:left w:val="nil"/>
              <w:bottom w:val="nil"/>
              <w:right w:val="nil"/>
            </w:tcBorders>
          </w:tcPr>
          <w:p>
            <w:pPr>
              <w:autoSpaceDE w:val="0"/>
              <w:autoSpaceDN w:val="0"/>
              <w:spacing w:line="240" w:lineRule="auto"/>
              <w:ind w:firstLine="0" w:firstLineChars="0"/>
              <w:jc w:val="center"/>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drawing>
                <wp:inline distT="0" distB="0" distL="114300" distR="114300">
                  <wp:extent cx="4655185" cy="3879215"/>
                  <wp:effectExtent l="0" t="0" r="0" b="0"/>
                  <wp:docPr id="4" name="图片 4" descr="工位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工位平面图"/>
                          <pic:cNvPicPr>
                            <a:picLocks noChangeAspect="1"/>
                          </pic:cNvPicPr>
                        </pic:nvPicPr>
                        <pic:blipFill>
                          <a:blip r:embed="rId15"/>
                          <a:stretch>
                            <a:fillRect/>
                          </a:stretch>
                        </pic:blipFill>
                        <pic:spPr>
                          <a:xfrm>
                            <a:off x="0" y="0"/>
                            <a:ext cx="4655185" cy="38792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22" w:type="dxa"/>
            <w:gridSpan w:val="2"/>
            <w:tcBorders>
              <w:top w:val="nil"/>
              <w:left w:val="nil"/>
              <w:bottom w:val="nil"/>
              <w:right w:val="nil"/>
            </w:tcBorders>
          </w:tcPr>
          <w:p>
            <w:pPr>
              <w:autoSpaceDE w:val="0"/>
              <w:autoSpaceDN w:val="0"/>
              <w:spacing w:line="500" w:lineRule="exact"/>
              <w:ind w:firstLine="0" w:firstLineChars="0"/>
              <w:jc w:val="center"/>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图4. 施工操作工位平面示意图</w:t>
            </w:r>
          </w:p>
          <w:p>
            <w:pPr>
              <w:autoSpaceDE w:val="0"/>
              <w:autoSpaceDN w:val="0"/>
              <w:spacing w:line="500" w:lineRule="exact"/>
              <w:ind w:firstLine="0" w:firstLineChars="0"/>
              <w:jc w:val="center"/>
              <w:rPr>
                <w:rFonts w:ascii="仿宋_GB2312" w:hAnsi="仿宋_GB2312" w:eastAsia="仿宋_GB2312" w:cs="仿宋_GB2312"/>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22" w:type="dxa"/>
            <w:gridSpan w:val="2"/>
            <w:tcBorders>
              <w:top w:val="nil"/>
              <w:left w:val="nil"/>
              <w:bottom w:val="nil"/>
              <w:right w:val="nil"/>
            </w:tcBorders>
          </w:tcPr>
          <w:p>
            <w:pPr>
              <w:autoSpaceDE w:val="0"/>
              <w:autoSpaceDN w:val="0"/>
              <w:spacing w:line="240" w:lineRule="auto"/>
              <w:ind w:firstLine="0" w:firstLineChars="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drawing>
                <wp:inline distT="0" distB="0" distL="114300" distR="114300">
                  <wp:extent cx="5269865" cy="2812415"/>
                  <wp:effectExtent l="0" t="0" r="0" b="0"/>
                  <wp:docPr id="5" name="图片 5" descr="工位A立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位A立面图"/>
                          <pic:cNvPicPr>
                            <a:picLocks noChangeAspect="1"/>
                          </pic:cNvPicPr>
                        </pic:nvPicPr>
                        <pic:blipFill>
                          <a:blip r:embed="rId16"/>
                          <a:stretch>
                            <a:fillRect/>
                          </a:stretch>
                        </pic:blipFill>
                        <pic:spPr>
                          <a:xfrm>
                            <a:off x="0" y="0"/>
                            <a:ext cx="5269865" cy="28124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22" w:type="dxa"/>
            <w:gridSpan w:val="2"/>
            <w:tcBorders>
              <w:top w:val="nil"/>
              <w:left w:val="nil"/>
              <w:bottom w:val="nil"/>
              <w:right w:val="nil"/>
            </w:tcBorders>
          </w:tcPr>
          <w:p>
            <w:pPr>
              <w:autoSpaceDE w:val="0"/>
              <w:autoSpaceDN w:val="0"/>
              <w:spacing w:line="500" w:lineRule="exact"/>
              <w:ind w:firstLine="0" w:firstLineChars="0"/>
              <w:jc w:val="center"/>
              <w:rPr>
                <w:rFonts w:ascii="仿宋_GB2312" w:hAnsi="仿宋_GB2312" w:eastAsia="仿宋_GB2312" w:cs="仿宋_GB2312"/>
                <w:color w:val="auto"/>
                <w:sz w:val="28"/>
                <w:szCs w:val="28"/>
              </w:rPr>
            </w:pPr>
            <w:r>
              <w:rPr>
                <w:rFonts w:hint="eastAsia" w:ascii="仿宋_GB2312" w:hAnsi="仿宋_GB2312" w:eastAsia="仿宋_GB2312" w:cs="仿宋_GB2312"/>
                <w:color w:val="auto"/>
                <w:szCs w:val="24"/>
              </w:rPr>
              <w:t>图5. 施工操作工位A立面示意图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22" w:type="dxa"/>
            <w:gridSpan w:val="2"/>
            <w:tcBorders>
              <w:top w:val="nil"/>
              <w:left w:val="nil"/>
              <w:bottom w:val="nil"/>
              <w:right w:val="nil"/>
            </w:tcBorders>
          </w:tcPr>
          <w:p>
            <w:pPr>
              <w:autoSpaceDE w:val="0"/>
              <w:autoSpaceDN w:val="0"/>
              <w:spacing w:line="240" w:lineRule="auto"/>
              <w:ind w:firstLine="0" w:firstLineChars="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drawing>
                <wp:inline distT="0" distB="0" distL="114300" distR="114300">
                  <wp:extent cx="5269230" cy="2653665"/>
                  <wp:effectExtent l="0" t="0" r="0" b="0"/>
                  <wp:docPr id="6" name="图片 6" descr="工位B立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工位B立面图"/>
                          <pic:cNvPicPr>
                            <a:picLocks noChangeAspect="1"/>
                          </pic:cNvPicPr>
                        </pic:nvPicPr>
                        <pic:blipFill>
                          <a:blip r:embed="rId17"/>
                          <a:stretch>
                            <a:fillRect/>
                          </a:stretch>
                        </pic:blipFill>
                        <pic:spPr>
                          <a:xfrm>
                            <a:off x="0" y="0"/>
                            <a:ext cx="5269230" cy="26536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22" w:type="dxa"/>
            <w:gridSpan w:val="2"/>
            <w:tcBorders>
              <w:top w:val="nil"/>
              <w:left w:val="nil"/>
              <w:bottom w:val="nil"/>
              <w:right w:val="nil"/>
            </w:tcBorders>
          </w:tcPr>
          <w:p>
            <w:pPr>
              <w:autoSpaceDE w:val="0"/>
              <w:autoSpaceDN w:val="0"/>
              <w:spacing w:line="500" w:lineRule="exact"/>
              <w:ind w:firstLine="0" w:firstLineChars="0"/>
              <w:jc w:val="center"/>
              <w:rPr>
                <w:rFonts w:hint="eastAsia" w:ascii="仿宋_GB2312" w:hAnsi="仿宋_GB2312" w:eastAsia="仿宋_GB2312" w:cs="仿宋_GB2312"/>
                <w:color w:val="auto"/>
                <w:szCs w:val="24"/>
              </w:rPr>
            </w:pPr>
            <w:r>
              <w:rPr>
                <w:rFonts w:hint="eastAsia" w:ascii="仿宋_GB2312" w:hAnsi="仿宋_GB2312" w:eastAsia="仿宋_GB2312" w:cs="仿宋_GB2312"/>
                <w:color w:val="auto"/>
                <w:szCs w:val="24"/>
              </w:rPr>
              <w:t>图6. 施工操作工位B立面示意图</w:t>
            </w:r>
          </w:p>
          <w:p>
            <w:pPr>
              <w:autoSpaceDE w:val="0"/>
              <w:autoSpaceDN w:val="0"/>
              <w:spacing w:line="500" w:lineRule="exact"/>
              <w:ind w:firstLine="0" w:firstLineChars="0"/>
              <w:jc w:val="center"/>
              <w:rPr>
                <w:rFonts w:ascii="仿宋_GB2312" w:hAnsi="仿宋_GB2312" w:eastAsia="仿宋_GB2312" w:cs="仿宋_GB2312"/>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22" w:type="dxa"/>
            <w:gridSpan w:val="2"/>
            <w:tcBorders>
              <w:top w:val="nil"/>
              <w:left w:val="nil"/>
              <w:bottom w:val="nil"/>
              <w:right w:val="nil"/>
            </w:tcBorders>
          </w:tcPr>
          <w:p>
            <w:pPr>
              <w:autoSpaceDE w:val="0"/>
              <w:autoSpaceDN w:val="0"/>
              <w:spacing w:line="240" w:lineRule="auto"/>
              <w:ind w:firstLine="0" w:firstLineChars="0"/>
              <w:jc w:val="center"/>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drawing>
                <wp:inline distT="0" distB="0" distL="114300" distR="114300">
                  <wp:extent cx="4191635" cy="2595880"/>
                  <wp:effectExtent l="0" t="0" r="0" b="0"/>
                  <wp:docPr id="7" name="图片 7" descr="工位C立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工位C立面图"/>
                          <pic:cNvPicPr>
                            <a:picLocks noChangeAspect="1"/>
                          </pic:cNvPicPr>
                        </pic:nvPicPr>
                        <pic:blipFill>
                          <a:blip r:embed="rId18"/>
                          <a:stretch>
                            <a:fillRect/>
                          </a:stretch>
                        </pic:blipFill>
                        <pic:spPr>
                          <a:xfrm>
                            <a:off x="0" y="0"/>
                            <a:ext cx="4191635" cy="25958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22" w:type="dxa"/>
            <w:gridSpan w:val="2"/>
            <w:tcBorders>
              <w:top w:val="nil"/>
              <w:left w:val="nil"/>
              <w:bottom w:val="nil"/>
              <w:right w:val="nil"/>
            </w:tcBorders>
          </w:tcPr>
          <w:p>
            <w:pPr>
              <w:autoSpaceDE w:val="0"/>
              <w:autoSpaceDN w:val="0"/>
              <w:spacing w:line="500" w:lineRule="exact"/>
              <w:ind w:firstLine="0" w:firstLineChars="0"/>
              <w:jc w:val="center"/>
              <w:rPr>
                <w:rFonts w:ascii="仿宋_GB2312" w:hAnsi="仿宋_GB2312" w:eastAsia="仿宋_GB2312" w:cs="仿宋_GB2312"/>
                <w:color w:val="auto"/>
                <w:sz w:val="28"/>
                <w:szCs w:val="28"/>
              </w:rPr>
            </w:pPr>
            <w:r>
              <w:rPr>
                <w:rFonts w:hint="eastAsia" w:ascii="仿宋_GB2312" w:hAnsi="仿宋_GB2312" w:eastAsia="仿宋_GB2312" w:cs="仿宋_GB2312"/>
                <w:color w:val="auto"/>
                <w:szCs w:val="24"/>
              </w:rPr>
              <w:t>图7. 施工操作工位C立面示意图</w:t>
            </w:r>
          </w:p>
        </w:tc>
      </w:tr>
    </w:tbl>
    <w:p>
      <w:pPr>
        <w:pStyle w:val="16"/>
        <w:spacing w:line="360" w:lineRule="auto"/>
        <w:ind w:firstLine="564"/>
        <w:rPr>
          <w:rFonts w:ascii="仿宋_GB2312" w:hAnsi="仿宋_GB2312" w:eastAsia="仿宋_GB2312" w:cs="仿宋_GB2312"/>
          <w:color w:val="auto"/>
        </w:rPr>
      </w:pPr>
      <w:r>
        <w:rPr>
          <w:rFonts w:hint="eastAsia" w:ascii="仿宋_GB2312" w:hAnsi="仿宋_GB2312" w:eastAsia="仿宋_GB2312" w:cs="仿宋_GB2312"/>
          <w:color w:val="auto"/>
        </w:rPr>
        <w:t>2.工位布置应连续。</w:t>
      </w:r>
    </w:p>
    <w:p>
      <w:pPr>
        <w:pStyle w:val="16"/>
        <w:spacing w:line="360" w:lineRule="auto"/>
        <w:ind w:firstLine="564"/>
        <w:rPr>
          <w:rFonts w:ascii="仿宋_GB2312" w:hAnsi="仿宋_GB2312" w:eastAsia="仿宋_GB2312" w:cs="仿宋_GB2312"/>
          <w:color w:val="auto"/>
        </w:rPr>
      </w:pPr>
      <w:r>
        <w:rPr>
          <w:rFonts w:hint="eastAsia" w:ascii="仿宋_GB2312" w:hAnsi="仿宋_GB2312" w:eastAsia="仿宋_GB2312" w:cs="仿宋_GB2312"/>
          <w:color w:val="auto"/>
        </w:rPr>
        <w:t>3.竞赛工位要求：</w:t>
      </w:r>
    </w:p>
    <w:p>
      <w:pPr>
        <w:pStyle w:val="16"/>
        <w:spacing w:line="360" w:lineRule="auto"/>
        <w:ind w:firstLine="564"/>
        <w:rPr>
          <w:rFonts w:ascii="仿宋_GB2312" w:hAnsi="仿宋_GB2312" w:eastAsia="仿宋_GB2312" w:cs="仿宋_GB2312"/>
          <w:color w:val="auto"/>
        </w:rPr>
      </w:pPr>
      <w:r>
        <w:rPr>
          <w:rFonts w:hint="eastAsia" w:ascii="仿宋_GB2312" w:hAnsi="仿宋_GB2312" w:eastAsia="仿宋_GB2312" w:cs="仿宋_GB2312"/>
          <w:color w:val="auto"/>
        </w:rPr>
        <w:t>（1）施工区开间内空尺寸：开间3.6m，进深2.8m。工位前场地进深2.1m。</w:t>
      </w:r>
    </w:p>
    <w:p>
      <w:pPr>
        <w:pStyle w:val="16"/>
        <w:spacing w:line="360" w:lineRule="auto"/>
        <w:ind w:firstLine="564"/>
        <w:rPr>
          <w:rFonts w:ascii="仿宋_GB2312" w:hAnsi="仿宋_GB2312" w:eastAsia="仿宋_GB2312" w:cs="仿宋_GB2312"/>
          <w:color w:val="auto"/>
        </w:rPr>
      </w:pPr>
      <w:r>
        <w:rPr>
          <w:rFonts w:hint="eastAsia" w:ascii="仿宋_GB2312" w:hAnsi="仿宋_GB2312" w:eastAsia="仿宋_GB2312" w:cs="仿宋_GB2312"/>
          <w:color w:val="auto"/>
        </w:rPr>
        <w:t>（2）镶贴区墙体为粘土空心砖砌体，墙高度为1.8m，墙面长2.8m（不等厚），面层抹灰。</w:t>
      </w:r>
    </w:p>
    <w:p>
      <w:pPr>
        <w:pStyle w:val="16"/>
        <w:spacing w:line="360" w:lineRule="auto"/>
        <w:ind w:firstLine="564"/>
        <w:rPr>
          <w:rFonts w:ascii="仿宋_GB2312" w:hAnsi="仿宋_GB2312" w:eastAsia="仿宋_GB2312" w:cs="仿宋_GB2312"/>
          <w:color w:val="auto"/>
        </w:rPr>
      </w:pPr>
      <w:r>
        <w:rPr>
          <w:rFonts w:hint="eastAsia" w:ascii="仿宋_GB2312" w:hAnsi="仿宋_GB2312" w:eastAsia="仿宋_GB2312" w:cs="仿宋_GB2312"/>
          <w:color w:val="auto"/>
        </w:rPr>
        <w:t>（3）抹灰区墙体材料同镶贴区，长2.16m（不等厚），清水墙。</w:t>
      </w:r>
    </w:p>
    <w:p>
      <w:pPr>
        <w:pStyle w:val="16"/>
        <w:spacing w:line="360" w:lineRule="auto"/>
        <w:ind w:firstLine="564"/>
        <w:rPr>
          <w:rFonts w:ascii="仿宋_GB2312" w:hAnsi="仿宋_GB2312" w:eastAsia="仿宋_GB2312" w:cs="仿宋_GB2312"/>
          <w:color w:val="auto"/>
        </w:rPr>
      </w:pPr>
      <w:r>
        <w:rPr>
          <w:rFonts w:hint="eastAsia" w:ascii="仿宋_GB2312" w:hAnsi="仿宋_GB2312" w:eastAsia="仿宋_GB2312" w:cs="仿宋_GB2312"/>
          <w:color w:val="auto"/>
        </w:rPr>
        <w:t>（4）墙面造型设壁炉造型，拼花区域不限。</w:t>
      </w:r>
    </w:p>
    <w:p>
      <w:pPr>
        <w:pStyle w:val="16"/>
        <w:spacing w:line="360" w:lineRule="auto"/>
        <w:ind w:firstLine="564"/>
        <w:rPr>
          <w:rFonts w:ascii="仿宋_GB2312" w:hAnsi="仿宋_GB2312" w:eastAsia="仿宋_GB2312" w:cs="仿宋_GB2312"/>
          <w:color w:val="auto"/>
        </w:rPr>
      </w:pPr>
      <w:r>
        <w:rPr>
          <w:rFonts w:hint="eastAsia" w:ascii="仿宋_GB2312" w:hAnsi="仿宋_GB2312" w:eastAsia="仿宋_GB2312" w:cs="仿宋_GB2312"/>
          <w:color w:val="auto"/>
        </w:rPr>
        <w:t>（5）隔墙和镶贴区墙体墙面设置水管、开关或插座，位置待定。</w:t>
      </w:r>
    </w:p>
    <w:p>
      <w:pPr>
        <w:pStyle w:val="16"/>
        <w:spacing w:line="360" w:lineRule="auto"/>
        <w:ind w:firstLine="564"/>
        <w:rPr>
          <w:rFonts w:ascii="仿宋_GB2312" w:hAnsi="仿宋_GB2312" w:eastAsia="仿宋_GB2312" w:cs="仿宋_GB2312"/>
          <w:color w:val="auto"/>
        </w:rPr>
      </w:pPr>
      <w:r>
        <w:rPr>
          <w:rFonts w:hint="eastAsia" w:ascii="仿宋_GB2312" w:hAnsi="仿宋_GB2312" w:eastAsia="仿宋_GB2312" w:cs="仿宋_GB2312"/>
          <w:color w:val="auto"/>
        </w:rPr>
        <w:t>（6）施工区隔离带设置施工用电五孔插座。</w:t>
      </w:r>
    </w:p>
    <w:p>
      <w:pPr>
        <w:pStyle w:val="16"/>
        <w:spacing w:line="360" w:lineRule="auto"/>
        <w:ind w:firstLine="564"/>
        <w:rPr>
          <w:rFonts w:ascii="仿宋" w:hAnsi="仿宋" w:eastAsia="仿宋" w:cs="Times New Roman"/>
          <w:color w:val="auto"/>
        </w:rPr>
      </w:pPr>
      <w:r>
        <w:rPr>
          <w:rFonts w:hint="eastAsia" w:ascii="仿宋_GB2312" w:hAnsi="仿宋_GB2312" w:eastAsia="仿宋_GB2312" w:cs="仿宋_GB2312"/>
          <w:color w:val="auto"/>
        </w:rPr>
        <w:t>（7）施工区墙面垂度度、平整度及外观质量误差控制在允许范围内。</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（二）理论竞赛环境要求</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计算机机位数符合参赛队人数要求，机位之间设隔板，采光良好，室内空气质量好，有冷暖设备，具备稳定的网络系统和供电系统，计算机电源线和插座防护到位。计算机意外断电时不允许自动清理。计算机具体要求：</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1.操作系统：Windows 7或更高版本</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2.计算机最低配置：处理器i54.0G，内存4G，硬盘100G，19寸显示器，备用机配置与竞赛机配置相同。USB接口封闭。</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3.键盘和鼠标等计算机配件等完备，性能良好。</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（三）技能竞赛环境要求</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1.施工图设计及材料测量竞赛环境要求</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计算机机位数符合参赛队人数要求，参赛队之间设隔板，采光良好，室内空气质量好，有冷暖设备，稳定的网络系统和供电系统。计算机意外断电时不允许自动清理。计算机具体要求是：</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（1）操作系统：Windows 7或更高版本</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（2）竞赛软件：2019版中望建筑教育CAD软件、office办公软件等</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（3）拼音输入法、五笔输入法、Adobe Reader等。</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（4）计算机最低配置：处理器i54.0G，内存4G，硬盘100G，19寸显示器，备用机配置与竞赛机配置相同。USB接口性能良好。</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（5）键盘和鼠标等计算机配件等完备，性能良好。</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2.技能操作竞赛环境要求</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（1）施工操作工位应在室内，或有避免气候影响的设施和设备，且不低于赛场预案的要求；</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（2）具有良好的通风和采光，具备较好的照明设施；</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（3）具有运送材料的通道和备料场，按竞赛规程备料并有余量；</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（4）每个工位应设置独立的漏电保护装置；</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（5）赛场具备封闭管理的条件，竞赛过程中实施封闭管理，专人管理；</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（6）赛场具备自来水源及配套的水桶、水管等；</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（7）赛场距卫生间距离不大于30米。</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（四）医疗服务及要求</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1.技能操作场所设置医疗医护工作站，医护人员待命，以防突发事件；</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2.根据比赛特点，配齐常规急救物品；</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3.安排专用车辆场外待命；</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4.做好防疫工作。</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（五）裁判员工作场所及要求</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1.竞赛场所外设置独立裁判员工作场所，独立封闭，面积不小于60m2，座位不低于20个；</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2.设置必要的电源和插座，提供必要的计算器、笔、托板等；</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3.设置有文件柜、打印机、A4纸等；</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4.提供饮水器等服务设施。</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（六）赛场保密场所及要求</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1.独立设置保密室；</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2.保密室须有安全保密防护措施，应具备完善可靠的人防、物防、技防三结合的安全保密防范措施，确保保存物品始终</w:t>
      </w:r>
      <w:r>
        <w:rPr>
          <w:rFonts w:ascii="仿宋" w:hAnsi="仿宋" w:cs="Times New Roman"/>
          <w:color w:val="auto"/>
          <w:kern w:val="0"/>
          <w:szCs w:val="24"/>
        </w:rPr>
        <w:t>处于安全的状态。</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3.保密室</w:t>
      </w:r>
      <w:r>
        <w:rPr>
          <w:rFonts w:ascii="仿宋" w:hAnsi="仿宋" w:cs="Times New Roman"/>
          <w:color w:val="auto"/>
          <w:kern w:val="0"/>
          <w:szCs w:val="24"/>
        </w:rPr>
        <w:t>出入口须安装门禁系统;</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4.保密室</w:t>
      </w:r>
      <w:r>
        <w:rPr>
          <w:rFonts w:ascii="仿宋" w:hAnsi="仿宋" w:cs="Times New Roman"/>
          <w:color w:val="auto"/>
          <w:kern w:val="0"/>
          <w:szCs w:val="24"/>
        </w:rPr>
        <w:t>内部须安装防盜报警装置和视频监控装置;</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5.保密室</w:t>
      </w:r>
      <w:r>
        <w:rPr>
          <w:rFonts w:ascii="仿宋" w:hAnsi="仿宋" w:cs="Times New Roman"/>
          <w:color w:val="auto"/>
          <w:kern w:val="0"/>
          <w:szCs w:val="24"/>
        </w:rPr>
        <w:t>窗户须安装防护窗;</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6.保密室</w:t>
      </w:r>
      <w:r>
        <w:rPr>
          <w:rFonts w:ascii="仿宋" w:hAnsi="仿宋" w:cs="Times New Roman"/>
          <w:color w:val="auto"/>
          <w:kern w:val="0"/>
          <w:szCs w:val="24"/>
        </w:rPr>
        <w:t>内部使用的涉密通信、计算机信息系统及各类办公设备应符合国家相关保密规定和技术标准。</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7.保密室</w:t>
      </w:r>
      <w:r>
        <w:rPr>
          <w:rFonts w:ascii="仿宋" w:hAnsi="仿宋" w:cs="Times New Roman"/>
          <w:color w:val="auto"/>
          <w:kern w:val="0"/>
          <w:szCs w:val="24"/>
        </w:rPr>
        <w:t>须配备专门存放、保管、销毁涉密文件、资料、各类移动存储介质等秘密载体的密码文件柜、碎纸机等安全可靠的设备。</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8.保密室设置电脑、A3/A4彩色打印复印机、装订工具、袋装密封闭等工具符合国家相关保密规定和技术标准；</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9.专人管理，设置进出记录本，所有</w:t>
      </w:r>
      <w:r>
        <w:rPr>
          <w:rFonts w:ascii="仿宋" w:hAnsi="仿宋" w:cs="Times New Roman"/>
          <w:color w:val="auto"/>
          <w:kern w:val="0"/>
          <w:szCs w:val="24"/>
        </w:rPr>
        <w:t>人员因工作需要进入涉密场所时</w:t>
      </w:r>
      <w:r>
        <w:rPr>
          <w:rFonts w:hint="eastAsia" w:ascii="仿宋" w:hAnsi="仿宋" w:cs="Times New Roman"/>
          <w:color w:val="auto"/>
          <w:kern w:val="0"/>
          <w:szCs w:val="24"/>
        </w:rPr>
        <w:t>须登记。</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（七）赛场摄像头安装要求</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1.在目标范围的前提下，其安装高度：室内摄像头的安装高度以2.5～4m为宜，室外以3.5～10m为宜。</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2.摄像头安装时，⼀定要在比较牢固的墙面或地方。安装后才能做到防止监控画面抖动。</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3.如果环境有强电，要注意摄像头安装应与地绝缘隔离，才能避免⼲扰。</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4.赛场前后设置不少于2个高清摄像头，不低于HD 1080P或HD 960P或HD 720P的摄像头；</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5.技能竞赛中，每个工位设置1个高清摄像头，且全部可以实时传播至领队休息室；</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6.硬盘录像机或录像设备需支持竞赛全过程（第1天至第4天）不间断录像；</w:t>
      </w:r>
    </w:p>
    <w:p>
      <w:pPr>
        <w:spacing w:beforeLines="50"/>
        <w:ind w:firstLine="0" w:firstLineChars="0"/>
        <w:rPr>
          <w:rFonts w:ascii="仿宋" w:hAnsi="仿宋" w:cs="仿宋"/>
          <w:b/>
          <w:color w:val="auto"/>
          <w:szCs w:val="24"/>
        </w:rPr>
      </w:pPr>
      <w:r>
        <w:rPr>
          <w:rFonts w:hint="eastAsia" w:ascii="仿宋" w:hAnsi="仿宋" w:cs="仿宋"/>
          <w:b/>
          <w:color w:val="auto"/>
          <w:szCs w:val="24"/>
        </w:rPr>
        <w:t>九、技术规范</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（一）国家技术技能标准</w:t>
      </w:r>
    </w:p>
    <w:p>
      <w:pPr>
        <w:pStyle w:val="16"/>
        <w:spacing w:line="360" w:lineRule="auto"/>
        <w:ind w:firstLine="480" w:firstLineChars="200"/>
        <w:jc w:val="both"/>
        <w:rPr>
          <w:rFonts w:ascii="仿宋_GB2312" w:hAnsi="仿宋_GB2312" w:eastAsia="仿宋_GB2312" w:cs="仿宋_GB2312"/>
          <w:color w:val="auto"/>
        </w:rPr>
      </w:pPr>
      <w:r>
        <w:rPr>
          <w:rFonts w:hint="eastAsia" w:ascii="仿宋" w:hAnsi="仿宋" w:eastAsia="仿宋" w:cs="Times New Roman"/>
          <w:color w:val="auto"/>
        </w:rPr>
        <w:t>1.</w:t>
      </w:r>
      <w:r>
        <w:rPr>
          <w:rFonts w:hint="eastAsia" w:ascii="仿宋_GB2312" w:hAnsi="仿宋_GB2312" w:eastAsia="仿宋_GB2312" w:cs="仿宋_GB2312"/>
          <w:color w:val="auto"/>
        </w:rPr>
        <w:t>《房屋建筑制图统一标准》(GB/T50001-2017)；</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2.《建筑工程施工质量验收统一标准》(GB 50300-2013）；</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3.《建筑装饰装修工程质量验收标准》（GB50210-2018）；</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4.《住宅装饰装修工程施工规范》（GB50327-2001）；</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5.《纸面石膏板》（GB/T9775-2008）</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6.《建筑用轻钢龙骨》（GB/T11981-200</w:t>
      </w:r>
      <w:r>
        <w:rPr>
          <w:rFonts w:ascii="仿宋_GB2312" w:hAnsi="仿宋_GB2312" w:eastAsia="仿宋_GB2312" w:cs="仿宋_GB2312"/>
          <w:color w:val="auto"/>
        </w:rPr>
        <w:t>8</w:t>
      </w:r>
      <w:r>
        <w:rPr>
          <w:rFonts w:hint="eastAsia" w:ascii="仿宋_GB2312" w:hAnsi="仿宋_GB2312" w:eastAsia="仿宋_GB2312" w:cs="仿宋_GB2312"/>
          <w:color w:val="auto"/>
        </w:rPr>
        <w:t>）</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7.《手持式电动工具的管理、使用、检查和维修安全技术规程》（GB／T3787-2017）</w:t>
      </w:r>
    </w:p>
    <w:p>
      <w:pPr>
        <w:pStyle w:val="16"/>
        <w:spacing w:line="360" w:lineRule="auto"/>
        <w:ind w:firstLine="48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rPr>
        <w:t>8.《建筑施工组织设计规范》（GB/T 50502-2009）</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（二）行业技术技能标准</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1.</w:t>
      </w:r>
      <w:r>
        <w:rPr>
          <w:rFonts w:hint="eastAsia" w:ascii="仿宋_GB2312" w:hAnsi="仿宋_GB2312" w:eastAsia="仿宋_GB2312" w:cs="仿宋_GB2312"/>
          <w:color w:val="auto"/>
          <w:szCs w:val="24"/>
        </w:rPr>
        <w:t>《房屋建筑室内装饰装修制图标准》(JGJ/T 244-2011）</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2.</w:t>
      </w:r>
      <w:r>
        <w:rPr>
          <w:rFonts w:hint="eastAsia" w:ascii="仿宋_GB2312" w:hAnsi="仿宋_GB2312" w:eastAsia="仿宋_GB2312" w:cs="仿宋_GB2312"/>
          <w:color w:val="auto"/>
          <w:szCs w:val="24"/>
        </w:rPr>
        <w:t>《住宅室内装饰装修工程质量验收规范》（JGJ/T304-2013）</w:t>
      </w:r>
    </w:p>
    <w:p>
      <w:pPr>
        <w:autoSpaceDE w:val="0"/>
        <w:autoSpaceDN w:val="0"/>
        <w:ind w:firstLine="480"/>
        <w:rPr>
          <w:rFonts w:ascii="仿宋_GB2312" w:hAnsi="仿宋_GB2312" w:eastAsia="仿宋_GB2312" w:cs="仿宋_GB2312"/>
          <w:color w:val="auto"/>
          <w:szCs w:val="24"/>
        </w:rPr>
      </w:pPr>
      <w:r>
        <w:rPr>
          <w:rFonts w:hint="eastAsia" w:ascii="仿宋" w:hAnsi="仿宋" w:cs="Times New Roman"/>
          <w:color w:val="auto"/>
          <w:kern w:val="0"/>
          <w:szCs w:val="24"/>
        </w:rPr>
        <w:t>3.</w:t>
      </w:r>
      <w:r>
        <w:rPr>
          <w:rFonts w:hint="eastAsia" w:ascii="仿宋_GB2312" w:hAnsi="仿宋_GB2312" w:eastAsia="仿宋_GB2312" w:cs="仿宋_GB2312"/>
          <w:color w:val="auto"/>
          <w:szCs w:val="24"/>
        </w:rPr>
        <w:t>《</w:t>
      </w:r>
      <w:r>
        <w:rPr>
          <w:rFonts w:ascii="仿宋_GB2312" w:hAnsi="仿宋_GB2312" w:eastAsia="仿宋_GB2312" w:cs="仿宋_GB2312"/>
          <w:color w:val="auto"/>
          <w:szCs w:val="24"/>
        </w:rPr>
        <w:t>陶瓷砖胶粘剂</w:t>
      </w:r>
      <w:r>
        <w:rPr>
          <w:rFonts w:hint="eastAsia" w:ascii="仿宋_GB2312" w:hAnsi="仿宋_GB2312" w:eastAsia="仿宋_GB2312" w:cs="仿宋_GB2312"/>
          <w:color w:val="auto"/>
          <w:szCs w:val="24"/>
        </w:rPr>
        <w:t>》（</w:t>
      </w:r>
      <w:r>
        <w:rPr>
          <w:rFonts w:ascii="仿宋_GB2312" w:hAnsi="仿宋_GB2312" w:eastAsia="仿宋_GB2312" w:cs="仿宋_GB2312"/>
          <w:color w:val="auto"/>
          <w:szCs w:val="24"/>
        </w:rPr>
        <w:t>JC</w:t>
      </w:r>
      <w:r>
        <w:rPr>
          <w:rFonts w:hint="eastAsia" w:ascii="仿宋_GB2312" w:hAnsi="仿宋_GB2312" w:eastAsia="仿宋_GB2312" w:cs="仿宋_GB2312"/>
          <w:color w:val="auto"/>
          <w:szCs w:val="24"/>
          <w:lang w:val="en-US" w:eastAsia="zh-CN"/>
        </w:rPr>
        <w:t>/</w:t>
      </w:r>
      <w:r>
        <w:rPr>
          <w:rFonts w:ascii="仿宋_GB2312" w:hAnsi="仿宋_GB2312" w:eastAsia="仿宋_GB2312" w:cs="仿宋_GB2312"/>
          <w:color w:val="auto"/>
          <w:szCs w:val="24"/>
        </w:rPr>
        <w:t>T 547-2017</w:t>
      </w:r>
      <w:r>
        <w:rPr>
          <w:rFonts w:hint="eastAsia" w:ascii="仿宋_GB2312" w:hAnsi="仿宋_GB2312" w:eastAsia="仿宋_GB2312" w:cs="仿宋_GB2312"/>
          <w:color w:val="auto"/>
          <w:szCs w:val="24"/>
        </w:rPr>
        <w:t>）</w:t>
      </w:r>
    </w:p>
    <w:p>
      <w:pPr>
        <w:autoSpaceDE w:val="0"/>
        <w:autoSpaceDN w:val="0"/>
        <w:ind w:firstLine="480"/>
        <w:rPr>
          <w:rFonts w:ascii="仿宋_GB2312" w:hAnsi="仿宋_GB2312" w:eastAsia="仿宋_GB2312" w:cs="仿宋_GB2312"/>
          <w:color w:val="auto"/>
          <w:szCs w:val="24"/>
        </w:rPr>
      </w:pPr>
      <w:r>
        <w:rPr>
          <w:rFonts w:hint="eastAsia" w:ascii="仿宋_GB2312" w:hAnsi="仿宋_GB2312" w:eastAsia="仿宋_GB2312" w:cs="仿宋_GB2312"/>
          <w:color w:val="auto"/>
          <w:szCs w:val="24"/>
        </w:rPr>
        <w:t>4.《</w:t>
      </w:r>
      <w:r>
        <w:rPr>
          <w:rFonts w:hint="eastAsia" w:ascii="仿宋_GB2312" w:hAnsi="仿宋_GB2312" w:eastAsia="仿宋_GB2312" w:cs="仿宋_GB2312"/>
          <w:color w:val="auto"/>
          <w:szCs w:val="24"/>
          <w:lang w:eastAsia="zh-CN"/>
        </w:rPr>
        <w:t>建筑工程施工工艺规程</w:t>
      </w:r>
      <w:r>
        <w:rPr>
          <w:rFonts w:hint="eastAsia" w:ascii="仿宋_GB2312" w:hAnsi="仿宋_GB2312" w:eastAsia="仿宋_GB2312" w:cs="仿宋_GB2312"/>
          <w:color w:val="auto"/>
          <w:szCs w:val="24"/>
        </w:rPr>
        <w:t>》（</w:t>
      </w:r>
      <w:r>
        <w:rPr>
          <w:rFonts w:hint="eastAsia" w:ascii="仿宋_GB2312" w:hAnsi="仿宋_GB2312" w:eastAsia="仿宋_GB2312" w:cs="仿宋_GB2312"/>
          <w:color w:val="auto"/>
          <w:szCs w:val="24"/>
          <w:lang w:eastAsia="zh-CN"/>
        </w:rPr>
        <w:t>DB11/T1832.1-2021</w:t>
      </w:r>
      <w:r>
        <w:rPr>
          <w:rFonts w:hint="eastAsia" w:ascii="仿宋_GB2312" w:hAnsi="仿宋_GB2312" w:eastAsia="仿宋_GB2312" w:cs="仿宋_GB2312"/>
          <w:color w:val="auto"/>
          <w:szCs w:val="24"/>
        </w:rPr>
        <w:t>）</w:t>
      </w:r>
    </w:p>
    <w:p>
      <w:pPr>
        <w:autoSpaceDE w:val="0"/>
        <w:autoSpaceDN w:val="0"/>
        <w:ind w:firstLine="480"/>
        <w:rPr>
          <w:rFonts w:ascii="仿宋_GB2312" w:hAnsi="仿宋_GB2312" w:eastAsia="仿宋_GB2312" w:cs="仿宋_GB2312"/>
          <w:color w:val="auto"/>
          <w:szCs w:val="24"/>
        </w:rPr>
      </w:pPr>
      <w:r>
        <w:rPr>
          <w:rFonts w:hint="eastAsia" w:ascii="仿宋_GB2312" w:hAnsi="仿宋_GB2312" w:eastAsia="仿宋_GB2312" w:cs="仿宋_GB2312"/>
          <w:color w:val="auto"/>
          <w:szCs w:val="24"/>
        </w:rPr>
        <w:t>5.《轻钢龙骨内隔墙》（GJBT 601）（图集号03J111-1）</w:t>
      </w:r>
    </w:p>
    <w:p>
      <w:pPr>
        <w:autoSpaceDE w:val="0"/>
        <w:autoSpaceDN w:val="0"/>
        <w:ind w:firstLine="480"/>
        <w:rPr>
          <w:rFonts w:ascii="仿宋_GB2312" w:hAnsi="仿宋_GB2312" w:eastAsia="仿宋_GB2312" w:cs="仿宋_GB2312"/>
          <w:color w:val="auto"/>
          <w:szCs w:val="24"/>
        </w:rPr>
      </w:pPr>
      <w:r>
        <w:rPr>
          <w:rFonts w:hint="eastAsia" w:ascii="仿宋_GB2312" w:hAnsi="仿宋_GB2312" w:eastAsia="仿宋_GB2312" w:cs="仿宋_GB2312"/>
          <w:color w:val="auto"/>
          <w:szCs w:val="24"/>
        </w:rPr>
        <w:t>6.</w:t>
      </w:r>
      <w:r>
        <w:rPr>
          <w:color w:val="auto"/>
        </w:rPr>
        <w:fldChar w:fldCharType="begin"/>
      </w:r>
      <w:r>
        <w:rPr>
          <w:color w:val="auto"/>
        </w:rPr>
        <w:instrText xml:space="preserve"> HYPERLINK "http://www.baidu.com/link?url=0MJHX1FiUHnQH_ZqdXnQYpBUTTdFLpLFBsdRolM_f7fPDNPACI3duUTI-52SBCzw" \t "https://www.baidu.com/_blank" </w:instrText>
      </w:r>
      <w:r>
        <w:rPr>
          <w:color w:val="auto"/>
        </w:rPr>
        <w:fldChar w:fldCharType="separate"/>
      </w:r>
      <w:r>
        <w:rPr>
          <w:rFonts w:ascii="仿宋_GB2312" w:hAnsi="仿宋_GB2312" w:eastAsia="仿宋_GB2312" w:cs="仿宋_GB2312"/>
          <w:color w:val="auto"/>
          <w:szCs w:val="24"/>
        </w:rPr>
        <w:t>《住宅室内装饰装修设计规范》 </w:t>
      </w:r>
      <w:r>
        <w:rPr>
          <w:rFonts w:hint="eastAsia" w:ascii="仿宋_GB2312" w:hAnsi="仿宋_GB2312" w:eastAsia="仿宋_GB2312" w:cs="仿宋_GB2312"/>
          <w:color w:val="auto"/>
          <w:szCs w:val="24"/>
        </w:rPr>
        <w:t>（</w:t>
      </w:r>
      <w:r>
        <w:rPr>
          <w:rFonts w:ascii="仿宋_GB2312" w:hAnsi="仿宋_GB2312" w:eastAsia="仿宋_GB2312" w:cs="仿宋_GB2312"/>
          <w:color w:val="auto"/>
          <w:szCs w:val="24"/>
        </w:rPr>
        <w:t>JGJ367-2015</w:t>
      </w:r>
      <w:r>
        <w:rPr>
          <w:rFonts w:ascii="仿宋_GB2312" w:hAnsi="仿宋_GB2312" w:eastAsia="仿宋_GB2312" w:cs="仿宋_GB2312"/>
          <w:color w:val="auto"/>
          <w:szCs w:val="24"/>
        </w:rPr>
        <w:fldChar w:fldCharType="end"/>
      </w:r>
      <w:r>
        <w:rPr>
          <w:rFonts w:hint="eastAsia" w:ascii="仿宋_GB2312" w:hAnsi="仿宋_GB2312" w:eastAsia="仿宋_GB2312" w:cs="仿宋_GB2312"/>
          <w:color w:val="auto"/>
          <w:szCs w:val="24"/>
        </w:rPr>
        <w:t>）</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（三）安全环保要求及标准</w:t>
      </w:r>
    </w:p>
    <w:p>
      <w:pPr>
        <w:autoSpaceDE w:val="0"/>
        <w:autoSpaceDN w:val="0"/>
        <w:ind w:firstLine="480"/>
        <w:rPr>
          <w:rFonts w:ascii="仿宋_GB2312" w:hAnsi="仿宋_GB2312" w:eastAsia="仿宋_GB2312" w:cs="仿宋_GB2312"/>
          <w:color w:val="auto"/>
          <w:szCs w:val="24"/>
        </w:rPr>
      </w:pPr>
      <w:r>
        <w:rPr>
          <w:rFonts w:hint="eastAsia" w:ascii="仿宋_GB2312" w:hAnsi="仿宋_GB2312" w:eastAsia="仿宋_GB2312" w:cs="仿宋_GB2312"/>
          <w:color w:val="auto"/>
          <w:szCs w:val="24"/>
        </w:rPr>
        <w:t>1.《建设工程施工现场环境与卫生标准》（JGJ 146-2013）</w:t>
      </w:r>
    </w:p>
    <w:p>
      <w:pPr>
        <w:autoSpaceDE w:val="0"/>
        <w:autoSpaceDN w:val="0"/>
        <w:ind w:firstLine="480"/>
        <w:rPr>
          <w:rFonts w:ascii="仿宋_GB2312" w:hAnsi="仿宋_GB2312" w:eastAsia="仿宋_GB2312" w:cs="仿宋_GB2312"/>
          <w:color w:val="auto"/>
          <w:szCs w:val="24"/>
        </w:rPr>
      </w:pPr>
      <w:r>
        <w:rPr>
          <w:rFonts w:hint="eastAsia" w:ascii="仿宋_GB2312" w:hAnsi="仿宋_GB2312" w:eastAsia="仿宋_GB2312" w:cs="仿宋_GB2312"/>
          <w:color w:val="auto"/>
          <w:szCs w:val="24"/>
        </w:rPr>
        <w:t>2.《建筑施工安全检查标准》（JGJ59-2011）</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（四）职业素养规范及要求</w:t>
      </w:r>
    </w:p>
    <w:p>
      <w:pPr>
        <w:autoSpaceDE w:val="0"/>
        <w:autoSpaceDN w:val="0"/>
        <w:ind w:firstLine="480"/>
        <w:rPr>
          <w:rFonts w:ascii="仿宋_GB2312" w:hAnsi="仿宋_GB2312" w:eastAsia="仿宋_GB2312" w:cs="仿宋_GB2312"/>
          <w:color w:val="auto"/>
          <w:szCs w:val="24"/>
        </w:rPr>
      </w:pPr>
      <w:r>
        <w:rPr>
          <w:color w:val="auto"/>
        </w:rPr>
        <w:fldChar w:fldCharType="begin"/>
      </w:r>
      <w:r>
        <w:rPr>
          <w:color w:val="auto"/>
        </w:rPr>
        <w:instrText xml:space="preserve"> HYPERLINK "https://www.zhulouren.com/138912.html" </w:instrText>
      </w:r>
      <w:r>
        <w:rPr>
          <w:color w:val="auto"/>
        </w:rPr>
        <w:fldChar w:fldCharType="separate"/>
      </w:r>
      <w:r>
        <w:rPr>
          <w:rFonts w:ascii="仿宋_GB2312" w:hAnsi="仿宋_GB2312" w:eastAsia="仿宋_GB2312" w:cs="仿宋_GB2312"/>
          <w:color w:val="auto"/>
          <w:szCs w:val="24"/>
        </w:rPr>
        <w:t>《建筑与市政工程施工现场专业人员职业标准》</w:t>
      </w:r>
      <w:r>
        <w:rPr>
          <w:rFonts w:hint="eastAsia" w:ascii="仿宋_GB2312" w:hAnsi="仿宋_GB2312" w:eastAsia="仿宋_GB2312" w:cs="仿宋_GB2312"/>
          <w:color w:val="auto"/>
          <w:szCs w:val="24"/>
        </w:rPr>
        <w:t>（</w:t>
      </w:r>
      <w:r>
        <w:rPr>
          <w:rFonts w:ascii="仿宋_GB2312" w:hAnsi="仿宋_GB2312" w:eastAsia="仿宋_GB2312" w:cs="仿宋_GB2312"/>
          <w:color w:val="auto"/>
          <w:szCs w:val="24"/>
        </w:rPr>
        <w:t>JGJ/T 250-2011</w:t>
      </w:r>
      <w:r>
        <w:rPr>
          <w:rFonts w:ascii="仿宋_GB2312" w:hAnsi="仿宋_GB2312" w:eastAsia="仿宋_GB2312" w:cs="仿宋_GB2312"/>
          <w:color w:val="auto"/>
          <w:szCs w:val="24"/>
        </w:rPr>
        <w:fldChar w:fldCharType="end"/>
      </w:r>
      <w:r>
        <w:rPr>
          <w:rFonts w:hint="eastAsia" w:ascii="仿宋_GB2312" w:hAnsi="仿宋_GB2312" w:eastAsia="仿宋_GB2312" w:cs="仿宋_GB2312"/>
          <w:color w:val="auto"/>
          <w:szCs w:val="24"/>
        </w:rPr>
        <w:t>）</w:t>
      </w:r>
    </w:p>
    <w:p>
      <w:pPr>
        <w:spacing w:beforeLines="50"/>
        <w:ind w:firstLine="0" w:firstLineChars="0"/>
        <w:rPr>
          <w:rFonts w:ascii="仿宋" w:hAnsi="仿宋" w:cs="仿宋"/>
          <w:b/>
          <w:color w:val="auto"/>
          <w:szCs w:val="24"/>
        </w:rPr>
      </w:pPr>
      <w:r>
        <w:rPr>
          <w:rFonts w:hint="eastAsia" w:ascii="仿宋" w:hAnsi="仿宋" w:cs="仿宋"/>
          <w:b/>
          <w:color w:val="auto"/>
          <w:szCs w:val="24"/>
        </w:rPr>
        <w:t>十、技术平台</w:t>
      </w:r>
    </w:p>
    <w:p>
      <w:pPr>
        <w:autoSpaceDE w:val="0"/>
        <w:autoSpaceDN w:val="0"/>
        <w:ind w:firstLine="480"/>
        <w:rPr>
          <w:rFonts w:ascii="仿宋" w:hAnsi="仿宋" w:cs="Times New Roman"/>
          <w:color w:val="auto"/>
          <w:kern w:val="0"/>
          <w:szCs w:val="24"/>
        </w:rPr>
      </w:pPr>
      <w:r>
        <w:rPr>
          <w:rFonts w:ascii="仿宋" w:hAnsi="仿宋" w:cs="Times New Roman"/>
          <w:color w:val="auto"/>
          <w:kern w:val="0"/>
          <w:szCs w:val="24"/>
        </w:rPr>
        <w:t>（一）竞赛设备、设施、附件</w:t>
      </w:r>
    </w:p>
    <w:p>
      <w:pPr>
        <w:autoSpaceDE w:val="0"/>
        <w:autoSpaceDN w:val="0"/>
        <w:ind w:firstLine="480"/>
        <w:rPr>
          <w:rFonts w:hint="eastAsia" w:ascii="仿宋" w:hAnsi="仿宋" w:eastAsia="仿宋" w:cs="Times New Roman"/>
          <w:color w:val="auto"/>
          <w:kern w:val="0"/>
          <w:szCs w:val="24"/>
          <w:lang w:val="en-US" w:eastAsia="zh-CN"/>
        </w:rPr>
      </w:pPr>
      <w:r>
        <w:rPr>
          <w:rFonts w:hint="eastAsia" w:ascii="仿宋" w:hAnsi="仿宋" w:cs="Times New Roman"/>
          <w:color w:val="auto"/>
          <w:kern w:val="0"/>
          <w:szCs w:val="24"/>
          <w:lang w:val="en-US" w:eastAsia="zh-CN"/>
        </w:rPr>
        <w:t>1.竞赛设施</w:t>
      </w:r>
      <w:r>
        <w:rPr>
          <w:rFonts w:hint="eastAsia" w:ascii="仿宋" w:hAnsi="仿宋" w:cs="Times New Roman"/>
          <w:color w:val="auto"/>
          <w:kern w:val="0"/>
          <w:szCs w:val="24"/>
        </w:rPr>
        <w:t>符合“八、竞赛环境——（一）（二）（三）”的要求</w:t>
      </w:r>
      <w:r>
        <w:rPr>
          <w:rFonts w:hint="eastAsia" w:ascii="仿宋" w:hAnsi="仿宋" w:cs="Times New Roman"/>
          <w:color w:val="auto"/>
          <w:kern w:val="0"/>
          <w:szCs w:val="24"/>
          <w:lang w:val="en-US" w:eastAsia="zh-CN"/>
        </w:rPr>
        <w:t>；</w:t>
      </w:r>
    </w:p>
    <w:p>
      <w:pPr>
        <w:autoSpaceDE w:val="0"/>
        <w:autoSpaceDN w:val="0"/>
        <w:ind w:firstLine="480"/>
        <w:rPr>
          <w:rFonts w:hint="default" w:ascii="仿宋" w:hAnsi="仿宋" w:cs="Times New Roman"/>
          <w:color w:val="auto"/>
          <w:kern w:val="0"/>
          <w:szCs w:val="24"/>
          <w:lang w:val="en-US" w:eastAsia="zh-CN"/>
        </w:rPr>
      </w:pPr>
      <w:r>
        <w:rPr>
          <w:rFonts w:hint="eastAsia" w:ascii="仿宋" w:hAnsi="仿宋" w:cs="Times New Roman"/>
          <w:color w:val="auto"/>
          <w:kern w:val="0"/>
          <w:szCs w:val="24"/>
          <w:lang w:val="en-US" w:eastAsia="zh-CN"/>
        </w:rPr>
        <w:t>2.竞赛工位见图3-图7；</w:t>
      </w:r>
    </w:p>
    <w:p>
      <w:pPr>
        <w:autoSpaceDE w:val="0"/>
        <w:autoSpaceDN w:val="0"/>
        <w:ind w:firstLine="480"/>
        <w:rPr>
          <w:rFonts w:hint="eastAsia" w:ascii="仿宋" w:hAnsi="仿宋" w:cs="Times New Roman"/>
          <w:color w:val="auto"/>
          <w:kern w:val="0"/>
          <w:szCs w:val="24"/>
          <w:lang w:val="en-US" w:eastAsia="zh-CN"/>
        </w:rPr>
      </w:pPr>
      <w:r>
        <w:rPr>
          <w:rFonts w:hint="eastAsia" w:ascii="仿宋" w:hAnsi="仿宋" w:cs="Times New Roman"/>
          <w:color w:val="auto"/>
          <w:kern w:val="0"/>
          <w:szCs w:val="24"/>
          <w:lang w:val="en-US" w:eastAsia="zh-CN"/>
        </w:rPr>
        <w:t>3.竞赛时使用的设备、工具、材料等见表3-表7。</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（二）竞赛工量具清单</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竞赛使用常规工量具，由参赛队自备自带，种类和数量见表3。</w:t>
      </w:r>
    </w:p>
    <w:p>
      <w:pPr>
        <w:snapToGrid w:val="0"/>
        <w:ind w:firstLine="0" w:firstLineChars="0"/>
        <w:jc w:val="center"/>
        <w:rPr>
          <w:rFonts w:ascii="仿宋_GB2312" w:hAnsi="仿宋_GB2312" w:eastAsia="仿宋_GB2312" w:cs="仿宋_GB2312"/>
          <w:b/>
          <w:color w:val="auto"/>
          <w:szCs w:val="24"/>
        </w:rPr>
      </w:pPr>
      <w:r>
        <w:rPr>
          <w:rFonts w:hint="eastAsia" w:ascii="仿宋_GB2312" w:hAnsi="仿宋_GB2312" w:eastAsia="仿宋_GB2312" w:cs="仿宋_GB2312"/>
          <w:b/>
          <w:color w:val="auto"/>
          <w:szCs w:val="24"/>
        </w:rPr>
        <w:t>表3.</w:t>
      </w:r>
      <w:r>
        <w:rPr>
          <w:rFonts w:hint="eastAsia" w:ascii="仿宋_GB2312" w:hAnsi="仿宋_GB2312" w:eastAsia="仿宋_GB2312" w:cs="仿宋_GB2312"/>
          <w:bCs/>
          <w:color w:val="auto"/>
          <w:szCs w:val="24"/>
        </w:rPr>
        <w:t>自带工具材料备选清单</w:t>
      </w:r>
    </w:p>
    <w:tbl>
      <w:tblPr>
        <w:tblStyle w:val="9"/>
        <w:tblW w:w="4994" w:type="pct"/>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autofit"/>
        <w:tblCellMar>
          <w:top w:w="0" w:type="dxa"/>
          <w:left w:w="108" w:type="dxa"/>
          <w:bottom w:w="0" w:type="dxa"/>
          <w:right w:w="108" w:type="dxa"/>
        </w:tblCellMar>
      </w:tblPr>
      <w:tblGrid>
        <w:gridCol w:w="683"/>
        <w:gridCol w:w="5982"/>
        <w:gridCol w:w="872"/>
        <w:gridCol w:w="975"/>
      </w:tblGrid>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序号</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相关工具及材料名称</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单位</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数量</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绘图画线工具（铅笔、记号笔等）</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套</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不限</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2</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钢直尺（约600毫米）</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3</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卷尺（3m以上）</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4</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角尺</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5</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内外直角检测尺（指针式）</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6</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拐尺（20cm*30cm）</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7</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塞尺</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8</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靠尺（2m）</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9</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水平尺（电子数字数显, 60cm、90cm、2m）</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10</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激光投线仪</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台</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11</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线坠</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11</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软管（自选）</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根</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12</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喷壶（不能装液体）</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13</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墨线盒或粉线包</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14</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齿型（抹子）刮板（4*4，6*6）</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15</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瓷砖刀</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16</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铁抹子、抄灰板</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把</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17</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合金錾</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18</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垫尺(镶贴瓷砖用)</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19</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棉线或尼龙线</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米</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20</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开刀</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把</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不限</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21</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抹布或海绵</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块</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不限</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22</w:t>
            </w:r>
          </w:p>
        </w:tc>
        <w:tc>
          <w:tcPr>
            <w:tcW w:w="3512" w:type="pct"/>
            <w:vAlign w:val="center"/>
          </w:tcPr>
          <w:p>
            <w:pPr>
              <w:pStyle w:val="16"/>
              <w:jc w:val="center"/>
              <w:rPr>
                <w:rFonts w:ascii="仿宋_GB2312" w:hAnsi="仿宋_GB2312" w:eastAsia="仿宋_GB2312" w:cs="仿宋_GB2312"/>
                <w:bCs/>
                <w:color w:val="auto"/>
                <w:sz w:val="22"/>
                <w:szCs w:val="22"/>
              </w:rPr>
            </w:pPr>
            <w:bookmarkStart w:id="0" w:name="_Hlk56169459"/>
            <w:r>
              <w:rPr>
                <w:rFonts w:hint="eastAsia" w:ascii="仿宋_GB2312" w:hAnsi="仿宋_GB2312" w:eastAsia="仿宋_GB2312" w:cs="仿宋_GB2312"/>
                <w:bCs/>
                <w:color w:val="auto"/>
                <w:sz w:val="22"/>
                <w:szCs w:val="22"/>
              </w:rPr>
              <w:t>瓷砖倒角器</w:t>
            </w:r>
            <w:bookmarkEnd w:id="0"/>
            <w:r>
              <w:rPr>
                <w:rFonts w:hint="eastAsia" w:ascii="仿宋_GB2312" w:hAnsi="仿宋_GB2312" w:eastAsia="仿宋_GB2312" w:cs="仿宋_GB2312"/>
                <w:bCs/>
                <w:color w:val="auto"/>
                <w:sz w:val="22"/>
                <w:szCs w:val="22"/>
              </w:rPr>
              <w:t>（自制或者购买）</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23</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瓷砖套割工具（自制或者购买）</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24</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瓷砖高低调节器（自选）</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25</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钳子（胶钳、尖嘴钳、老虎钳、板钳等）</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26</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航空剪（又称龙骨剪。剪切龙骨使用）</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27</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拉铆枪（选手自备铆钉）</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28</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美工刀</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把</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不限</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29</w:t>
            </w:r>
          </w:p>
        </w:tc>
        <w:tc>
          <w:tcPr>
            <w:tcW w:w="3512" w:type="pct"/>
            <w:vAlign w:val="center"/>
          </w:tcPr>
          <w:p>
            <w:pPr>
              <w:pStyle w:val="16"/>
              <w:jc w:val="center"/>
              <w:rPr>
                <w:rFonts w:ascii="仿宋_GB2312" w:hAnsi="仿宋_GB2312" w:eastAsia="仿宋_GB2312" w:cs="仿宋_GB2312"/>
                <w:bCs/>
                <w:color w:val="auto"/>
                <w:sz w:val="22"/>
                <w:szCs w:val="22"/>
              </w:rPr>
            </w:pPr>
            <w:bookmarkStart w:id="1" w:name="_Hlk56169512"/>
            <w:r>
              <w:rPr>
                <w:rFonts w:hint="eastAsia" w:ascii="仿宋_GB2312" w:hAnsi="仿宋_GB2312" w:eastAsia="仿宋_GB2312" w:cs="仿宋_GB2312"/>
                <w:bCs/>
                <w:color w:val="auto"/>
                <w:sz w:val="22"/>
                <w:szCs w:val="22"/>
              </w:rPr>
              <w:t>磨石/砂纸/三脚锉刨</w:t>
            </w:r>
            <w:bookmarkEnd w:id="1"/>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30</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橡胶锤</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把</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31</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美工防护尺（切割板材时，须使用）</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把</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32</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手动马刀锯</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把</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33</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电动马刀锯（充电式）</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把</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34</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微型带锯（环保型、切割瓷砖使用）</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台</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35</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电动无齿锯（锯片直径＜400mm）</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把</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36</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手提式电动切割机（含切割片）</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把</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37</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起子机（充电式）</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把</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38</w:t>
            </w:r>
          </w:p>
        </w:tc>
        <w:tc>
          <w:tcPr>
            <w:tcW w:w="3512" w:type="pct"/>
            <w:vAlign w:val="center"/>
          </w:tcPr>
          <w:p>
            <w:pPr>
              <w:pStyle w:val="16"/>
              <w:jc w:val="center"/>
              <w:rPr>
                <w:rFonts w:ascii="仿宋_GB2312" w:hAnsi="仿宋_GB2312" w:eastAsia="仿宋_GB2312" w:cs="仿宋_GB2312"/>
                <w:bCs/>
                <w:color w:val="auto"/>
                <w:sz w:val="22"/>
                <w:szCs w:val="22"/>
              </w:rPr>
            </w:pPr>
            <w:bookmarkStart w:id="2" w:name="_Hlk56169675"/>
            <w:r>
              <w:rPr>
                <w:rFonts w:hint="eastAsia" w:ascii="仿宋_GB2312" w:hAnsi="仿宋_GB2312" w:eastAsia="仿宋_GB2312" w:cs="仿宋_GB2312"/>
                <w:bCs/>
                <w:color w:val="auto"/>
                <w:sz w:val="22"/>
                <w:szCs w:val="22"/>
              </w:rPr>
              <w:t>链带螺钉枪</w:t>
            </w:r>
            <w:bookmarkEnd w:id="2"/>
            <w:r>
              <w:rPr>
                <w:rFonts w:hint="eastAsia" w:ascii="仿宋_GB2312" w:hAnsi="仿宋_GB2312" w:eastAsia="仿宋_GB2312" w:cs="仿宋_GB2312"/>
                <w:bCs/>
                <w:color w:val="auto"/>
                <w:sz w:val="22"/>
                <w:szCs w:val="22"/>
              </w:rPr>
              <w:t>（充电式，选手自备链钉）</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把</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39</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电动搅拌器（含搅拌棒）</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把</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40</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手枪钻</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把</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41</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电锤</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把</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42</w:t>
            </w:r>
          </w:p>
        </w:tc>
        <w:tc>
          <w:tcPr>
            <w:tcW w:w="3512" w:type="pct"/>
            <w:vAlign w:val="center"/>
          </w:tcPr>
          <w:p>
            <w:pPr>
              <w:pStyle w:val="16"/>
              <w:jc w:val="center"/>
              <w:rPr>
                <w:rFonts w:ascii="仿宋_GB2312" w:hAnsi="仿宋_GB2312" w:eastAsia="仿宋_GB2312" w:cs="仿宋_GB2312"/>
                <w:bCs/>
                <w:color w:val="auto"/>
                <w:sz w:val="22"/>
                <w:szCs w:val="22"/>
              </w:rPr>
            </w:pPr>
            <w:bookmarkStart w:id="3" w:name="_Hlk56169747"/>
            <w:r>
              <w:rPr>
                <w:rFonts w:hint="eastAsia" w:ascii="仿宋_GB2312" w:hAnsi="仿宋_GB2312" w:eastAsia="仿宋_GB2312" w:cs="仿宋_GB2312"/>
                <w:bCs/>
                <w:color w:val="auto"/>
                <w:sz w:val="22"/>
                <w:szCs w:val="22"/>
              </w:rPr>
              <w:t>拉铆枪</w:t>
            </w:r>
            <w:bookmarkEnd w:id="3"/>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把</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43</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扳手</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44</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磨石</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把</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45</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托线板</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2</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46</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木工扁凿</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套</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47</w:t>
            </w:r>
          </w:p>
        </w:tc>
        <w:tc>
          <w:tcPr>
            <w:tcW w:w="3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木工螺丝刀</w:t>
            </w:r>
          </w:p>
        </w:tc>
        <w:tc>
          <w:tcPr>
            <w:tcW w:w="51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套</w:t>
            </w:r>
          </w:p>
        </w:tc>
        <w:tc>
          <w:tcPr>
            <w:tcW w:w="57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w:t>
            </w:r>
          </w:p>
        </w:tc>
      </w:tr>
    </w:tbl>
    <w:p>
      <w:pPr>
        <w:autoSpaceDE w:val="0"/>
        <w:autoSpaceDN w:val="0"/>
        <w:spacing w:line="500" w:lineRule="exact"/>
        <w:ind w:firstLine="480"/>
        <w:rPr>
          <w:rFonts w:ascii="仿宋" w:hAnsi="仿宋" w:cs="Times New Roman"/>
          <w:color w:val="auto"/>
          <w:kern w:val="0"/>
          <w:szCs w:val="24"/>
        </w:rPr>
      </w:pP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（三）竞赛材料及耗材清单</w:t>
      </w:r>
    </w:p>
    <w:p>
      <w:pPr>
        <w:snapToGrid w:val="0"/>
        <w:ind w:firstLine="415" w:firstLineChars="189"/>
        <w:jc w:val="center"/>
        <w:rPr>
          <w:color w:val="auto"/>
        </w:rPr>
      </w:pPr>
      <w:r>
        <w:rPr>
          <w:rFonts w:hint="eastAsia" w:ascii="仿宋_GB2312" w:hAnsi="仿宋_GB2312" w:eastAsia="仿宋_GB2312" w:cs="仿宋_GB2312"/>
          <w:color w:val="auto"/>
          <w:sz w:val="22"/>
        </w:rPr>
        <w:t>表4. 赛场提供竞赛材料、耗材和工具清单</w:t>
      </w:r>
      <w:r>
        <w:rPr>
          <w:rFonts w:hint="eastAsia" w:ascii="仿宋_GB2312" w:hAnsi="仿宋_GB2312" w:eastAsia="仿宋_GB2312" w:cs="仿宋_GB2312"/>
          <w:b/>
          <w:color w:val="auto"/>
          <w:szCs w:val="24"/>
        </w:rPr>
        <w:t xml:space="preserve"> </w:t>
      </w:r>
    </w:p>
    <w:tbl>
      <w:tblPr>
        <w:tblStyle w:val="9"/>
        <w:tblW w:w="5000" w:type="pct"/>
        <w:tblInd w:w="0"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687"/>
        <w:gridCol w:w="5771"/>
        <w:gridCol w:w="810"/>
        <w:gridCol w:w="1254"/>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序号</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名称</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单位</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数量</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1</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白色墙面瓷砖（200mm*300mm）</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块</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测算量</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2</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白色墙面瓷砖（100mm*200mm）</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块</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测算量</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3</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黄色墙面瓷砖（100mm*100mm）</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块</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测算量</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4</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红色墙面瓷砖（100mm*100mm）</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块</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测算量</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5</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瓷砖胶粘剂(粘贴瓷砖用）</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Kg</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测算量</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6</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填缝剂（勾缝剂）</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袋</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测算量</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7</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瓷砖砖缝十字架胶粒</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袋</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测算量</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8</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水泥（墙面抹灰用）</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Kg</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测算量</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9</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消解石灰膏（墙面抹灰用）</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Kg</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测算量</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10</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中砂（墙面抹灰用）</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m3</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测算量</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11</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耐火纸面石膏板（2400×1200×9.5mm）</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张</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测算量</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12</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轻钢龙骨竖龙骨（75轻钢隔墙龙骨3m/根）</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根</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测算量</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13</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轻钢龙骨天地龙骨（75轻钢隔墙龙骨3m/根）</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根</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测算量</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14</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穿心龙骨（38轻钢隔墙龙骨3m/根）</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根</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测算量</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15</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角龙骨（30型轻钢隔墙龙骨 3m/根）</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根</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测算量</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16</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轻钢龙骨配件（支撑卡）</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个</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测算量</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17</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挤塑板（隔音材料、1200*600*50mm）</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m²</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测算量</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18</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紧固材料（膨胀螺栓M6×40mm 搭配¢6mm钻头）</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个</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测算量</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19</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紧固材料（自攻螺丝，固定石膏板）</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盒</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测算量</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20</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紧固材料（自攻螺丝，固定天地龙骨）</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个</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测算量</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21</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木线条（顶角，阴角线，20mm×20mm）</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m</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测算量</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22</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无头钉（碳素钢，28mm）</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个</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若干</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23</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多功能接线板</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个</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1</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24</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镀锌水管</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套</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1</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25</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插座</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个</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1</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26</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86型暗底盒及面板</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套</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1</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27</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铁锨</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把</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1</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28</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水桶、水舀</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套</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1</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29</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灰桶</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个</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2</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30</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灰槽</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个</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2</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31</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垃圾桶</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个</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1</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32</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扫把</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把</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1</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33</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塑料簸箕</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个</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1</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403"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34</w:t>
            </w:r>
          </w:p>
        </w:tc>
        <w:tc>
          <w:tcPr>
            <w:tcW w:w="338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移动式存贮盘（U盘，</w:t>
            </w:r>
            <w:r>
              <w:rPr>
                <w:rFonts w:hint="eastAsia" w:ascii="仿宋" w:hAnsi="仿宋" w:cs="仿宋"/>
                <w:color w:val="auto"/>
                <w:sz w:val="22"/>
              </w:rPr>
              <w:t>≥</w:t>
            </w:r>
            <w:r>
              <w:rPr>
                <w:rFonts w:hint="eastAsia" w:ascii="仿宋_GB2312" w:hAnsi="仿宋_GB2312" w:eastAsia="仿宋_GB2312" w:cs="仿宋_GB2312"/>
                <w:color w:val="auto"/>
                <w:sz w:val="22"/>
              </w:rPr>
              <w:t>16G）</w:t>
            </w:r>
          </w:p>
        </w:tc>
        <w:tc>
          <w:tcPr>
            <w:tcW w:w="475"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个</w:t>
            </w:r>
          </w:p>
        </w:tc>
        <w:tc>
          <w:tcPr>
            <w:tcW w:w="736" w:type="pct"/>
            <w:vAlign w:val="center"/>
          </w:tcPr>
          <w:p>
            <w:pPr>
              <w:snapToGrid w:val="0"/>
              <w:spacing w:line="240" w:lineRule="auto"/>
              <w:ind w:firstLine="0" w:firstLineChars="0"/>
              <w:jc w:val="center"/>
              <w:rPr>
                <w:rFonts w:ascii="仿宋_GB2312" w:hAnsi="仿宋_GB2312" w:eastAsia="仿宋_GB2312" w:cs="仿宋_GB2312"/>
                <w:color w:val="auto"/>
                <w:sz w:val="22"/>
              </w:rPr>
            </w:pPr>
            <w:r>
              <w:rPr>
                <w:rFonts w:hint="eastAsia" w:ascii="仿宋_GB2312" w:hAnsi="仿宋_GB2312" w:eastAsia="仿宋_GB2312" w:cs="仿宋_GB2312"/>
                <w:color w:val="auto"/>
                <w:sz w:val="22"/>
              </w:rPr>
              <w:t>50</w:t>
            </w:r>
          </w:p>
        </w:tc>
      </w:tr>
    </w:tbl>
    <w:p>
      <w:pPr>
        <w:pStyle w:val="16"/>
        <w:spacing w:line="360" w:lineRule="auto"/>
        <w:ind w:firstLine="440" w:firstLineChars="200"/>
        <w:jc w:val="both"/>
        <w:rPr>
          <w:rFonts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说明：赛场提供墙面瓷砖的最终数量按各参赛队伍的测算量提供（如设计、材料测算未完成，视现场实际情况提供）。</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（四）竞赛用软件清单</w:t>
      </w:r>
    </w:p>
    <w:p>
      <w:pPr>
        <w:autoSpaceDE w:val="0"/>
        <w:autoSpaceDN w:val="0"/>
        <w:spacing w:line="500" w:lineRule="exact"/>
        <w:ind w:firstLine="480"/>
        <w:rPr>
          <w:rFonts w:ascii="仿宋" w:hAnsi="仿宋" w:cs="Times New Roman"/>
          <w:color w:val="auto"/>
          <w:kern w:val="0"/>
          <w:szCs w:val="24"/>
        </w:rPr>
      </w:pPr>
      <w:r>
        <w:rPr>
          <w:rFonts w:hint="eastAsia" w:ascii="仿宋" w:hAnsi="仿宋" w:cs="Times New Roman"/>
          <w:color w:val="auto"/>
          <w:kern w:val="0"/>
          <w:szCs w:val="24"/>
        </w:rPr>
        <w:t>1.2019版中望建筑教育CAD软件</w:t>
      </w:r>
    </w:p>
    <w:p>
      <w:pPr>
        <w:autoSpaceDE w:val="0"/>
        <w:autoSpaceDN w:val="0"/>
        <w:spacing w:line="500" w:lineRule="exact"/>
        <w:ind w:firstLine="480"/>
        <w:rPr>
          <w:rFonts w:ascii="仿宋" w:hAnsi="仿宋" w:cs="Times New Roman"/>
          <w:color w:val="auto"/>
          <w:kern w:val="0"/>
          <w:szCs w:val="24"/>
        </w:rPr>
      </w:pPr>
      <w:r>
        <w:rPr>
          <w:rFonts w:hint="eastAsia" w:ascii="仿宋" w:hAnsi="仿宋" w:cs="Times New Roman"/>
          <w:color w:val="auto"/>
          <w:kern w:val="0"/>
          <w:szCs w:val="24"/>
        </w:rPr>
        <w:t>2.EXCEL、WORD等OFFICE软件</w:t>
      </w:r>
    </w:p>
    <w:p>
      <w:pPr>
        <w:autoSpaceDE w:val="0"/>
        <w:autoSpaceDN w:val="0"/>
        <w:spacing w:line="500" w:lineRule="exact"/>
        <w:ind w:firstLine="480"/>
        <w:rPr>
          <w:rFonts w:ascii="仿宋" w:hAnsi="仿宋" w:cs="Times New Roman"/>
          <w:color w:val="auto"/>
          <w:kern w:val="0"/>
          <w:szCs w:val="24"/>
        </w:rPr>
      </w:pPr>
      <w:r>
        <w:rPr>
          <w:rFonts w:hint="eastAsia" w:ascii="仿宋" w:hAnsi="仿宋" w:cs="Times New Roman"/>
          <w:color w:val="auto"/>
          <w:kern w:val="0"/>
          <w:szCs w:val="24"/>
        </w:rPr>
        <w:t>（五）允许选手翻阅的技术资料清单</w:t>
      </w:r>
    </w:p>
    <w:p>
      <w:pPr>
        <w:autoSpaceDE w:val="0"/>
        <w:autoSpaceDN w:val="0"/>
        <w:spacing w:line="500" w:lineRule="exact"/>
        <w:ind w:firstLine="480"/>
        <w:rPr>
          <w:rFonts w:ascii="仿宋" w:hAnsi="仿宋" w:cs="Times New Roman"/>
          <w:color w:val="auto"/>
          <w:kern w:val="0"/>
          <w:szCs w:val="24"/>
        </w:rPr>
      </w:pPr>
      <w:r>
        <w:rPr>
          <w:rFonts w:hint="eastAsia" w:ascii="仿宋" w:hAnsi="仿宋" w:cs="Times New Roman"/>
          <w:color w:val="auto"/>
          <w:kern w:val="0"/>
          <w:szCs w:val="24"/>
        </w:rPr>
        <w:t>竞赛时不允许选手携带、翻阅的技术资料</w:t>
      </w:r>
    </w:p>
    <w:p>
      <w:pPr>
        <w:autoSpaceDE w:val="0"/>
        <w:autoSpaceDN w:val="0"/>
        <w:ind w:firstLine="480"/>
        <w:rPr>
          <w:rFonts w:hint="eastAsia" w:ascii="仿宋" w:hAnsi="仿宋" w:cs="Times New Roman"/>
          <w:color w:val="auto"/>
          <w:kern w:val="0"/>
          <w:szCs w:val="24"/>
        </w:rPr>
      </w:pPr>
    </w:p>
    <w:p>
      <w:pPr>
        <w:autoSpaceDE w:val="0"/>
        <w:autoSpaceDN w:val="0"/>
        <w:ind w:firstLine="480"/>
        <w:rPr>
          <w:rFonts w:hint="eastAsia" w:ascii="仿宋" w:hAnsi="仿宋" w:cs="Times New Roman"/>
          <w:color w:val="auto"/>
          <w:kern w:val="0"/>
          <w:szCs w:val="24"/>
        </w:rPr>
      </w:pP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（六）劳保用品清单</w:t>
      </w:r>
    </w:p>
    <w:p>
      <w:pPr>
        <w:autoSpaceDE w:val="0"/>
        <w:autoSpaceDN w:val="0"/>
        <w:ind w:firstLine="0" w:firstLineChars="0"/>
        <w:jc w:val="center"/>
        <w:rPr>
          <w:rFonts w:ascii="仿宋" w:hAnsi="仿宋" w:cs="Times New Roman"/>
          <w:color w:val="auto"/>
          <w:kern w:val="0"/>
          <w:szCs w:val="24"/>
        </w:rPr>
      </w:pPr>
      <w:r>
        <w:rPr>
          <w:rFonts w:hint="eastAsia" w:ascii="仿宋" w:hAnsi="仿宋" w:cs="Times New Roman"/>
          <w:color w:val="auto"/>
          <w:kern w:val="0"/>
          <w:szCs w:val="24"/>
        </w:rPr>
        <w:t>表5. 自带劳保用品建议清单</w:t>
      </w:r>
    </w:p>
    <w:tbl>
      <w:tblPr>
        <w:tblStyle w:val="9"/>
        <w:tblW w:w="4995"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684"/>
        <w:gridCol w:w="5981"/>
        <w:gridCol w:w="873"/>
        <w:gridCol w:w="975"/>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0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序号</w:t>
            </w:r>
          </w:p>
        </w:tc>
        <w:tc>
          <w:tcPr>
            <w:tcW w:w="351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相关工具及材料名称</w:t>
            </w:r>
          </w:p>
        </w:tc>
        <w:tc>
          <w:tcPr>
            <w:tcW w:w="51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单位</w:t>
            </w:r>
          </w:p>
        </w:tc>
        <w:tc>
          <w:tcPr>
            <w:tcW w:w="570"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数量</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0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w:t>
            </w:r>
          </w:p>
        </w:tc>
        <w:tc>
          <w:tcPr>
            <w:tcW w:w="351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工作帽</w:t>
            </w:r>
          </w:p>
        </w:tc>
        <w:tc>
          <w:tcPr>
            <w:tcW w:w="51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顶</w:t>
            </w:r>
          </w:p>
        </w:tc>
        <w:tc>
          <w:tcPr>
            <w:tcW w:w="570"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2</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0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2</w:t>
            </w:r>
          </w:p>
        </w:tc>
        <w:tc>
          <w:tcPr>
            <w:tcW w:w="351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工作服</w:t>
            </w:r>
          </w:p>
        </w:tc>
        <w:tc>
          <w:tcPr>
            <w:tcW w:w="51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套</w:t>
            </w:r>
          </w:p>
        </w:tc>
        <w:tc>
          <w:tcPr>
            <w:tcW w:w="570"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2</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0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3</w:t>
            </w:r>
          </w:p>
        </w:tc>
        <w:tc>
          <w:tcPr>
            <w:tcW w:w="351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工作鞋</w:t>
            </w:r>
          </w:p>
        </w:tc>
        <w:tc>
          <w:tcPr>
            <w:tcW w:w="51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双</w:t>
            </w:r>
          </w:p>
        </w:tc>
        <w:tc>
          <w:tcPr>
            <w:tcW w:w="570"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2</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0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4</w:t>
            </w:r>
          </w:p>
        </w:tc>
        <w:tc>
          <w:tcPr>
            <w:tcW w:w="351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防尘镜</w:t>
            </w:r>
          </w:p>
        </w:tc>
        <w:tc>
          <w:tcPr>
            <w:tcW w:w="51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副</w:t>
            </w:r>
          </w:p>
        </w:tc>
        <w:tc>
          <w:tcPr>
            <w:tcW w:w="570"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2</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0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5</w:t>
            </w:r>
          </w:p>
        </w:tc>
        <w:tc>
          <w:tcPr>
            <w:tcW w:w="351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口罩</w:t>
            </w:r>
          </w:p>
        </w:tc>
        <w:tc>
          <w:tcPr>
            <w:tcW w:w="51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双</w:t>
            </w:r>
          </w:p>
        </w:tc>
        <w:tc>
          <w:tcPr>
            <w:tcW w:w="570"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2</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0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6</w:t>
            </w:r>
          </w:p>
        </w:tc>
        <w:tc>
          <w:tcPr>
            <w:tcW w:w="351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毛巾</w:t>
            </w:r>
          </w:p>
        </w:tc>
        <w:tc>
          <w:tcPr>
            <w:tcW w:w="51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570"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2</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0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7</w:t>
            </w:r>
          </w:p>
        </w:tc>
        <w:tc>
          <w:tcPr>
            <w:tcW w:w="351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隔音耳罩或耳包</w:t>
            </w:r>
          </w:p>
        </w:tc>
        <w:tc>
          <w:tcPr>
            <w:tcW w:w="51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条</w:t>
            </w:r>
          </w:p>
        </w:tc>
        <w:tc>
          <w:tcPr>
            <w:tcW w:w="570"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02"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8</w:t>
            </w:r>
          </w:p>
        </w:tc>
        <w:tc>
          <w:tcPr>
            <w:tcW w:w="351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工作手套和防切割手套</w:t>
            </w:r>
          </w:p>
        </w:tc>
        <w:tc>
          <w:tcPr>
            <w:tcW w:w="51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双</w:t>
            </w:r>
          </w:p>
        </w:tc>
        <w:tc>
          <w:tcPr>
            <w:tcW w:w="570"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000" w:type="pct"/>
            <w:gridSpan w:val="4"/>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注：劳动保护用品不允许出现参赛队或学校名称等标识。</w:t>
            </w:r>
          </w:p>
        </w:tc>
      </w:tr>
    </w:tbl>
    <w:p>
      <w:pPr>
        <w:autoSpaceDE w:val="0"/>
        <w:autoSpaceDN w:val="0"/>
        <w:spacing w:line="500" w:lineRule="exact"/>
        <w:ind w:firstLine="480"/>
        <w:rPr>
          <w:rFonts w:ascii="仿宋" w:hAnsi="仿宋" w:cs="Times New Roman"/>
          <w:color w:val="auto"/>
          <w:kern w:val="0"/>
          <w:szCs w:val="24"/>
        </w:rPr>
      </w:pPr>
    </w:p>
    <w:p>
      <w:pPr>
        <w:snapToGrid w:val="0"/>
        <w:ind w:firstLine="0" w:firstLineChars="0"/>
        <w:jc w:val="center"/>
        <w:rPr>
          <w:rFonts w:ascii="仿宋_GB2312" w:hAnsi="仿宋_GB2312" w:eastAsia="仿宋_GB2312" w:cs="仿宋_GB2312"/>
          <w:b/>
          <w:color w:val="auto"/>
          <w:szCs w:val="24"/>
        </w:rPr>
      </w:pPr>
      <w:r>
        <w:rPr>
          <w:rFonts w:hint="eastAsia" w:ascii="仿宋_GB2312" w:hAnsi="仿宋_GB2312" w:eastAsia="仿宋_GB2312" w:cs="仿宋_GB2312"/>
          <w:b/>
          <w:color w:val="auto"/>
          <w:szCs w:val="24"/>
        </w:rPr>
        <w:t xml:space="preserve">表6. </w:t>
      </w:r>
      <w:r>
        <w:rPr>
          <w:rFonts w:hint="eastAsia" w:ascii="仿宋_GB2312" w:hAnsi="仿宋_GB2312" w:eastAsia="仿宋_GB2312" w:cs="仿宋_GB2312"/>
          <w:bCs/>
          <w:color w:val="auto"/>
          <w:szCs w:val="24"/>
        </w:rPr>
        <w:t>自带参赛服装建议样式标准</w:t>
      </w:r>
    </w:p>
    <w:tbl>
      <w:tblPr>
        <w:tblStyle w:val="10"/>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4280"/>
        <w:gridCol w:w="34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9"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序号</w:t>
            </w:r>
          </w:p>
        </w:tc>
        <w:tc>
          <w:tcPr>
            <w:tcW w:w="251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名称</w:t>
            </w:r>
          </w:p>
        </w:tc>
        <w:tc>
          <w:tcPr>
            <w:tcW w:w="2008"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参考图片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9" w:hRule="atLeast"/>
          <w:jc w:val="center"/>
        </w:trPr>
        <w:tc>
          <w:tcPr>
            <w:tcW w:w="479" w:type="pct"/>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w:t>
            </w:r>
          </w:p>
        </w:tc>
        <w:tc>
          <w:tcPr>
            <w:tcW w:w="251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藏蓝色劳保服套装</w:t>
            </w:r>
          </w:p>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（不可带省市院校标识）</w:t>
            </w:r>
          </w:p>
        </w:tc>
        <w:tc>
          <w:tcPr>
            <w:tcW w:w="2008"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drawing>
                <wp:inline distT="0" distB="0" distL="0" distR="0">
                  <wp:extent cx="1098550" cy="1196975"/>
                  <wp:effectExtent l="0" t="0" r="6350" b="3175"/>
                  <wp:docPr id="8" name="图片 8" descr="C:\Users\Bonnie\AppData\Local\Temp\企业微信截图_15528169597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Bonnie\AppData\Local\Temp\企业微信截图_155281695975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98550" cy="1197164"/>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0" w:hRule="atLeast"/>
          <w:jc w:val="center"/>
        </w:trPr>
        <w:tc>
          <w:tcPr>
            <w:tcW w:w="479" w:type="pct"/>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2</w:t>
            </w:r>
          </w:p>
        </w:tc>
        <w:tc>
          <w:tcPr>
            <w:tcW w:w="251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蓝色安全帽</w:t>
            </w:r>
          </w:p>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(不可带省市院校标识)</w:t>
            </w:r>
          </w:p>
        </w:tc>
        <w:tc>
          <w:tcPr>
            <w:tcW w:w="2008"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drawing>
                <wp:anchor distT="0" distB="0" distL="114300" distR="114300" simplePos="0" relativeHeight="251659264" behindDoc="0" locked="0" layoutInCell="1" allowOverlap="1">
                  <wp:simplePos x="0" y="0"/>
                  <wp:positionH relativeFrom="column">
                    <wp:posOffset>207645</wp:posOffset>
                  </wp:positionH>
                  <wp:positionV relativeFrom="paragraph">
                    <wp:posOffset>6350</wp:posOffset>
                  </wp:positionV>
                  <wp:extent cx="1359535" cy="1127125"/>
                  <wp:effectExtent l="0" t="0" r="12065" b="1587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9535" cy="1127125"/>
                          </a:xfrm>
                          <a:prstGeom prst="rect">
                            <a:avLst/>
                          </a:prstGeom>
                        </pic:spPr>
                      </pic:pic>
                    </a:graphicData>
                  </a:graphic>
                </wp:anchor>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6" w:hRule="atLeast"/>
          <w:jc w:val="center"/>
        </w:trPr>
        <w:tc>
          <w:tcPr>
            <w:tcW w:w="479" w:type="pct"/>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3</w:t>
            </w:r>
          </w:p>
        </w:tc>
        <w:tc>
          <w:tcPr>
            <w:tcW w:w="251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黑色胶鞋</w:t>
            </w:r>
          </w:p>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(不可带省市院校标识)</w:t>
            </w:r>
          </w:p>
          <w:p>
            <w:pPr>
              <w:pStyle w:val="16"/>
              <w:jc w:val="center"/>
              <w:rPr>
                <w:rFonts w:ascii="仿宋_GB2312" w:hAnsi="仿宋_GB2312" w:eastAsia="仿宋_GB2312" w:cs="仿宋_GB2312"/>
                <w:bCs/>
                <w:color w:val="auto"/>
                <w:sz w:val="22"/>
                <w:szCs w:val="22"/>
              </w:rPr>
            </w:pPr>
          </w:p>
        </w:tc>
        <w:tc>
          <w:tcPr>
            <w:tcW w:w="2008"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drawing>
                <wp:inline distT="0" distB="0" distL="0" distR="0">
                  <wp:extent cx="1778000" cy="1041400"/>
                  <wp:effectExtent l="0" t="0" r="1270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8000" cy="1041400"/>
                          </a:xfrm>
                          <a:prstGeom prst="rect">
                            <a:avLst/>
                          </a:prstGeom>
                        </pic:spPr>
                      </pic:pic>
                    </a:graphicData>
                  </a:graphic>
                </wp:inline>
              </w:drawing>
            </w:r>
          </w:p>
        </w:tc>
      </w:tr>
    </w:tbl>
    <w:p>
      <w:pPr>
        <w:pStyle w:val="16"/>
        <w:spacing w:line="360" w:lineRule="auto"/>
        <w:jc w:val="center"/>
        <w:rPr>
          <w:rFonts w:ascii="仿宋" w:hAnsi="仿宋" w:eastAsia="仿宋" w:cs="Times New Roman"/>
          <w:color w:val="auto"/>
        </w:rPr>
      </w:pPr>
      <w:r>
        <w:rPr>
          <w:rFonts w:hint="eastAsia" w:ascii="仿宋_GB2312" w:hAnsi="仿宋_GB2312" w:eastAsia="仿宋_GB2312" w:cs="仿宋_GB2312"/>
          <w:bCs/>
          <w:color w:val="auto"/>
          <w:sz w:val="22"/>
          <w:szCs w:val="22"/>
        </w:rPr>
        <w:t>说明：该表为参赛服装样式标准，自行购买使用，如赛场提供相应服装，可以穿戴。</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（七）裁判工作需要的办公用品及设备、测量设备、场所等要求及清单</w:t>
      </w:r>
    </w:p>
    <w:p>
      <w:pPr>
        <w:autoSpaceDE w:val="0"/>
        <w:autoSpaceDN w:val="0"/>
        <w:ind w:firstLine="480"/>
        <w:jc w:val="center"/>
        <w:rPr>
          <w:rFonts w:ascii="仿宋" w:hAnsi="仿宋" w:cs="Times New Roman"/>
          <w:color w:val="auto"/>
          <w:kern w:val="0"/>
          <w:szCs w:val="24"/>
        </w:rPr>
      </w:pPr>
      <w:r>
        <w:rPr>
          <w:rFonts w:hint="eastAsia" w:ascii="仿宋" w:hAnsi="仿宋" w:cs="Times New Roman"/>
          <w:color w:val="auto"/>
          <w:kern w:val="0"/>
          <w:szCs w:val="24"/>
        </w:rPr>
        <w:t>表7.裁判所需物品清单</w:t>
      </w:r>
    </w:p>
    <w:tbl>
      <w:tblPr>
        <w:tblStyle w:val="9"/>
        <w:tblW w:w="4994" w:type="pct"/>
        <w:jc w:val="center"/>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autofit"/>
        <w:tblCellMar>
          <w:top w:w="0" w:type="dxa"/>
          <w:left w:w="108" w:type="dxa"/>
          <w:bottom w:w="0" w:type="dxa"/>
          <w:right w:w="108" w:type="dxa"/>
        </w:tblCellMar>
      </w:tblPr>
      <w:tblGrid>
        <w:gridCol w:w="683"/>
        <w:gridCol w:w="4780"/>
        <w:gridCol w:w="1136"/>
        <w:gridCol w:w="1913"/>
      </w:tblGrid>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序号</w:t>
            </w:r>
          </w:p>
        </w:tc>
        <w:tc>
          <w:tcPr>
            <w:tcW w:w="2807"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名称</w:t>
            </w:r>
          </w:p>
        </w:tc>
        <w:tc>
          <w:tcPr>
            <w:tcW w:w="667"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单位</w:t>
            </w:r>
          </w:p>
        </w:tc>
        <w:tc>
          <w:tcPr>
            <w:tcW w:w="112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数量</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w:t>
            </w:r>
          </w:p>
        </w:tc>
        <w:tc>
          <w:tcPr>
            <w:tcW w:w="2807"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黑色水笔</w:t>
            </w:r>
          </w:p>
        </w:tc>
        <w:tc>
          <w:tcPr>
            <w:tcW w:w="667"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支</w:t>
            </w:r>
          </w:p>
        </w:tc>
        <w:tc>
          <w:tcPr>
            <w:tcW w:w="112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若干</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2</w:t>
            </w:r>
          </w:p>
        </w:tc>
        <w:tc>
          <w:tcPr>
            <w:tcW w:w="2807"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记录托板</w:t>
            </w:r>
          </w:p>
        </w:tc>
        <w:tc>
          <w:tcPr>
            <w:tcW w:w="667"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块</w:t>
            </w:r>
          </w:p>
        </w:tc>
        <w:tc>
          <w:tcPr>
            <w:tcW w:w="112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20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3</w:t>
            </w:r>
          </w:p>
        </w:tc>
        <w:tc>
          <w:tcPr>
            <w:tcW w:w="2807"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计算器</w:t>
            </w:r>
          </w:p>
        </w:tc>
        <w:tc>
          <w:tcPr>
            <w:tcW w:w="667"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112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4</w:t>
            </w:r>
          </w:p>
        </w:tc>
        <w:tc>
          <w:tcPr>
            <w:tcW w:w="2807"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钢卷尺（5m）</w:t>
            </w:r>
          </w:p>
        </w:tc>
        <w:tc>
          <w:tcPr>
            <w:tcW w:w="667"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把</w:t>
            </w:r>
          </w:p>
        </w:tc>
        <w:tc>
          <w:tcPr>
            <w:tcW w:w="112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10</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5</w:t>
            </w:r>
          </w:p>
        </w:tc>
        <w:tc>
          <w:tcPr>
            <w:tcW w:w="2807"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水平尺（600mm、1200mm、1500mm）</w:t>
            </w:r>
          </w:p>
        </w:tc>
        <w:tc>
          <w:tcPr>
            <w:tcW w:w="667"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套</w:t>
            </w:r>
          </w:p>
        </w:tc>
        <w:tc>
          <w:tcPr>
            <w:tcW w:w="112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5</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6</w:t>
            </w:r>
          </w:p>
        </w:tc>
        <w:tc>
          <w:tcPr>
            <w:tcW w:w="2807"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塞尺（或蝶形塞尺）</w:t>
            </w:r>
          </w:p>
        </w:tc>
        <w:tc>
          <w:tcPr>
            <w:tcW w:w="667"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112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5</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7</w:t>
            </w:r>
          </w:p>
        </w:tc>
        <w:tc>
          <w:tcPr>
            <w:tcW w:w="2807"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尼龙拉线（3000mm）</w:t>
            </w:r>
          </w:p>
        </w:tc>
        <w:tc>
          <w:tcPr>
            <w:tcW w:w="667"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条</w:t>
            </w:r>
          </w:p>
        </w:tc>
        <w:tc>
          <w:tcPr>
            <w:tcW w:w="112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5</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8</w:t>
            </w:r>
          </w:p>
        </w:tc>
        <w:tc>
          <w:tcPr>
            <w:tcW w:w="2807"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阴阳角量尺</w:t>
            </w:r>
          </w:p>
        </w:tc>
        <w:tc>
          <w:tcPr>
            <w:tcW w:w="667"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个</w:t>
            </w:r>
          </w:p>
        </w:tc>
        <w:tc>
          <w:tcPr>
            <w:tcW w:w="112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5</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9</w:t>
            </w:r>
          </w:p>
        </w:tc>
        <w:tc>
          <w:tcPr>
            <w:tcW w:w="2807"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电脑，i5 4G 4G</w:t>
            </w:r>
          </w:p>
        </w:tc>
        <w:tc>
          <w:tcPr>
            <w:tcW w:w="667"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台</w:t>
            </w:r>
          </w:p>
        </w:tc>
        <w:tc>
          <w:tcPr>
            <w:tcW w:w="112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01"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10</w:t>
            </w:r>
          </w:p>
        </w:tc>
        <w:tc>
          <w:tcPr>
            <w:tcW w:w="2807"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打印机,A4纸</w:t>
            </w:r>
          </w:p>
        </w:tc>
        <w:tc>
          <w:tcPr>
            <w:tcW w:w="667"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组</w:t>
            </w:r>
          </w:p>
        </w:tc>
        <w:tc>
          <w:tcPr>
            <w:tcW w:w="1123" w:type="pct"/>
            <w:vAlign w:val="center"/>
          </w:tcPr>
          <w:p>
            <w:pPr>
              <w:pStyle w:val="16"/>
              <w:jc w:val="center"/>
              <w:rPr>
                <w:rFonts w:ascii="仿宋_GB2312" w:hAnsi="仿宋_GB2312" w:eastAsia="仿宋_GB2312" w:cs="仿宋_GB2312"/>
                <w:bCs/>
                <w:color w:val="auto"/>
                <w:sz w:val="22"/>
                <w:szCs w:val="22"/>
              </w:rPr>
            </w:pPr>
            <w:r>
              <w:rPr>
                <w:rFonts w:hint="eastAsia" w:ascii="仿宋_GB2312" w:hAnsi="仿宋_GB2312" w:eastAsia="仿宋_GB2312" w:cs="仿宋_GB2312"/>
                <w:bCs/>
                <w:color w:val="auto"/>
                <w:sz w:val="22"/>
                <w:szCs w:val="22"/>
              </w:rPr>
              <w:t>1</w:t>
            </w:r>
          </w:p>
        </w:tc>
      </w:tr>
    </w:tbl>
    <w:p>
      <w:pPr>
        <w:autoSpaceDE w:val="0"/>
        <w:autoSpaceDN w:val="0"/>
        <w:spacing w:line="500" w:lineRule="exact"/>
        <w:ind w:firstLine="480"/>
        <w:rPr>
          <w:rFonts w:ascii="仿宋" w:hAnsi="仿宋" w:cs="Times New Roman"/>
          <w:color w:val="auto"/>
          <w:kern w:val="0"/>
          <w:szCs w:val="24"/>
        </w:rPr>
      </w:pP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（八）现场需要配备的技术支持、志愿者、工作人员的要求及数量等</w:t>
      </w:r>
    </w:p>
    <w:p>
      <w:pPr>
        <w:autoSpaceDE w:val="0"/>
        <w:autoSpaceDN w:val="0"/>
        <w:ind w:firstLine="480"/>
        <w:jc w:val="center"/>
        <w:rPr>
          <w:rFonts w:ascii="仿宋" w:hAnsi="仿宋" w:cs="Times New Roman"/>
          <w:color w:val="auto"/>
          <w:kern w:val="0"/>
          <w:szCs w:val="24"/>
        </w:rPr>
      </w:pPr>
      <w:r>
        <w:rPr>
          <w:rFonts w:hint="eastAsia" w:ascii="仿宋" w:hAnsi="仿宋" w:cs="Times New Roman"/>
          <w:color w:val="auto"/>
          <w:kern w:val="0"/>
          <w:szCs w:val="24"/>
        </w:rPr>
        <w:t>表8. 现场配备人员需求表</w:t>
      </w:r>
    </w:p>
    <w:tbl>
      <w:tblPr>
        <w:tblStyle w:val="1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133"/>
        <w:gridCol w:w="2543"/>
        <w:gridCol w:w="2619"/>
        <w:gridCol w:w="15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685" w:type="dxa"/>
            <w:vAlign w:val="center"/>
          </w:tcPr>
          <w:p>
            <w:pPr>
              <w:autoSpaceDE w:val="0"/>
              <w:autoSpaceDN w:val="0"/>
              <w:spacing w:line="240" w:lineRule="auto"/>
              <w:ind w:firstLine="0" w:firstLineChars="0"/>
              <w:jc w:val="center"/>
              <w:rPr>
                <w:rFonts w:ascii="仿宋" w:hAnsi="仿宋" w:cs="Times New Roman"/>
                <w:color w:val="auto"/>
                <w:kern w:val="0"/>
                <w:sz w:val="22"/>
              </w:rPr>
            </w:pPr>
            <w:r>
              <w:rPr>
                <w:rFonts w:ascii="仿宋" w:hAnsi="仿宋" w:cs="Times New Roman"/>
                <w:color w:val="auto"/>
                <w:kern w:val="0"/>
                <w:sz w:val="22"/>
              </w:rPr>
              <w:t>序号</w:t>
            </w:r>
          </w:p>
        </w:tc>
        <w:tc>
          <w:tcPr>
            <w:tcW w:w="1133" w:type="dxa"/>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人员类别</w:t>
            </w:r>
          </w:p>
        </w:tc>
        <w:tc>
          <w:tcPr>
            <w:tcW w:w="2543" w:type="dxa"/>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工作内容</w:t>
            </w:r>
          </w:p>
        </w:tc>
        <w:tc>
          <w:tcPr>
            <w:tcW w:w="2619" w:type="dxa"/>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素质要求</w:t>
            </w:r>
          </w:p>
        </w:tc>
        <w:tc>
          <w:tcPr>
            <w:tcW w:w="1542" w:type="dxa"/>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数量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685" w:type="dxa"/>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1</w:t>
            </w:r>
          </w:p>
        </w:tc>
        <w:tc>
          <w:tcPr>
            <w:tcW w:w="1133" w:type="dxa"/>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技术支持人员</w:t>
            </w:r>
          </w:p>
        </w:tc>
        <w:tc>
          <w:tcPr>
            <w:tcW w:w="2543" w:type="dxa"/>
            <w:vAlign w:val="center"/>
          </w:tcPr>
          <w:p>
            <w:pPr>
              <w:autoSpaceDE w:val="0"/>
              <w:autoSpaceDN w:val="0"/>
              <w:spacing w:line="240" w:lineRule="auto"/>
              <w:ind w:firstLine="0" w:firstLineChars="0"/>
              <w:rPr>
                <w:rFonts w:ascii="仿宋" w:hAnsi="仿宋" w:cs="Times New Roman"/>
                <w:color w:val="auto"/>
                <w:kern w:val="0"/>
                <w:sz w:val="22"/>
              </w:rPr>
            </w:pPr>
            <w:r>
              <w:rPr>
                <w:rFonts w:hint="eastAsia" w:ascii="仿宋" w:hAnsi="仿宋" w:cs="Times New Roman"/>
                <w:color w:val="auto"/>
                <w:kern w:val="0"/>
                <w:sz w:val="22"/>
              </w:rPr>
              <w:t>软件支持，计算机维护，用电维护等</w:t>
            </w:r>
          </w:p>
        </w:tc>
        <w:tc>
          <w:tcPr>
            <w:tcW w:w="2619" w:type="dxa"/>
            <w:vAlign w:val="center"/>
          </w:tcPr>
          <w:p>
            <w:pPr>
              <w:autoSpaceDE w:val="0"/>
              <w:autoSpaceDN w:val="0"/>
              <w:spacing w:line="240" w:lineRule="auto"/>
              <w:ind w:firstLine="0" w:firstLineChars="0"/>
              <w:rPr>
                <w:rFonts w:ascii="仿宋" w:hAnsi="仿宋" w:cs="Times New Roman"/>
                <w:color w:val="auto"/>
                <w:kern w:val="0"/>
                <w:sz w:val="22"/>
              </w:rPr>
            </w:pPr>
            <w:r>
              <w:rPr>
                <w:rFonts w:hint="eastAsia" w:ascii="仿宋" w:hAnsi="仿宋" w:cs="Times New Roman"/>
                <w:color w:val="auto"/>
                <w:kern w:val="0"/>
                <w:sz w:val="22"/>
              </w:rPr>
              <w:t>技术过硬，处理突发事件能力突出，严守秘密</w:t>
            </w:r>
          </w:p>
        </w:tc>
        <w:tc>
          <w:tcPr>
            <w:tcW w:w="1542" w:type="dxa"/>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685" w:type="dxa"/>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2</w:t>
            </w:r>
          </w:p>
        </w:tc>
        <w:tc>
          <w:tcPr>
            <w:tcW w:w="1133" w:type="dxa"/>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志愿者</w:t>
            </w:r>
          </w:p>
        </w:tc>
        <w:tc>
          <w:tcPr>
            <w:tcW w:w="2543" w:type="dxa"/>
            <w:vAlign w:val="center"/>
          </w:tcPr>
          <w:p>
            <w:pPr>
              <w:autoSpaceDE w:val="0"/>
              <w:autoSpaceDN w:val="0"/>
              <w:spacing w:line="240" w:lineRule="auto"/>
              <w:ind w:firstLine="0" w:firstLineChars="0"/>
              <w:rPr>
                <w:rFonts w:ascii="仿宋" w:hAnsi="仿宋" w:cs="Times New Roman"/>
                <w:color w:val="auto"/>
                <w:kern w:val="0"/>
                <w:sz w:val="22"/>
              </w:rPr>
            </w:pPr>
            <w:r>
              <w:rPr>
                <w:rFonts w:hint="eastAsia" w:ascii="仿宋" w:hAnsi="仿宋" w:cs="Times New Roman"/>
                <w:color w:val="auto"/>
                <w:kern w:val="0"/>
                <w:sz w:val="22"/>
              </w:rPr>
              <w:t>协助完成竞赛过程的流程任务，指引，服务等</w:t>
            </w:r>
          </w:p>
        </w:tc>
        <w:tc>
          <w:tcPr>
            <w:tcW w:w="2619" w:type="dxa"/>
            <w:vAlign w:val="center"/>
          </w:tcPr>
          <w:p>
            <w:pPr>
              <w:autoSpaceDE w:val="0"/>
              <w:autoSpaceDN w:val="0"/>
              <w:spacing w:line="240" w:lineRule="auto"/>
              <w:ind w:firstLine="0" w:firstLineChars="0"/>
              <w:rPr>
                <w:rFonts w:ascii="仿宋" w:hAnsi="仿宋" w:cs="Times New Roman"/>
                <w:color w:val="auto"/>
                <w:kern w:val="0"/>
                <w:sz w:val="22"/>
              </w:rPr>
            </w:pPr>
            <w:r>
              <w:rPr>
                <w:rFonts w:hint="eastAsia" w:ascii="仿宋" w:hAnsi="仿宋" w:cs="Times New Roman"/>
                <w:color w:val="auto"/>
                <w:kern w:val="0"/>
                <w:sz w:val="22"/>
              </w:rPr>
              <w:t>统一着装，吃苦耐劳，严守秘密</w:t>
            </w:r>
          </w:p>
        </w:tc>
        <w:tc>
          <w:tcPr>
            <w:tcW w:w="1542" w:type="dxa"/>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按需配备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c>
          <w:tcPr>
            <w:tcW w:w="685" w:type="dxa"/>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3</w:t>
            </w:r>
          </w:p>
        </w:tc>
        <w:tc>
          <w:tcPr>
            <w:tcW w:w="1133" w:type="dxa"/>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工作人员</w:t>
            </w:r>
          </w:p>
        </w:tc>
        <w:tc>
          <w:tcPr>
            <w:tcW w:w="2543" w:type="dxa"/>
            <w:vAlign w:val="center"/>
          </w:tcPr>
          <w:p>
            <w:pPr>
              <w:autoSpaceDE w:val="0"/>
              <w:autoSpaceDN w:val="0"/>
              <w:spacing w:line="240" w:lineRule="auto"/>
              <w:ind w:firstLine="0" w:firstLineChars="0"/>
              <w:rPr>
                <w:rFonts w:ascii="仿宋" w:hAnsi="仿宋" w:cs="Times New Roman"/>
                <w:color w:val="auto"/>
                <w:kern w:val="0"/>
                <w:sz w:val="22"/>
              </w:rPr>
            </w:pPr>
            <w:r>
              <w:rPr>
                <w:rFonts w:hint="eastAsia" w:ascii="仿宋" w:hAnsi="仿宋" w:cs="Times New Roman"/>
                <w:color w:val="auto"/>
                <w:kern w:val="0"/>
                <w:sz w:val="22"/>
              </w:rPr>
              <w:t>协助完成各项杂务</w:t>
            </w:r>
          </w:p>
        </w:tc>
        <w:tc>
          <w:tcPr>
            <w:tcW w:w="2619" w:type="dxa"/>
            <w:vAlign w:val="center"/>
          </w:tcPr>
          <w:p>
            <w:pPr>
              <w:autoSpaceDE w:val="0"/>
              <w:autoSpaceDN w:val="0"/>
              <w:spacing w:line="240" w:lineRule="auto"/>
              <w:ind w:firstLine="0" w:firstLineChars="0"/>
              <w:rPr>
                <w:rFonts w:ascii="仿宋" w:hAnsi="仿宋" w:cs="Times New Roman"/>
                <w:color w:val="auto"/>
                <w:kern w:val="0"/>
                <w:sz w:val="22"/>
              </w:rPr>
            </w:pPr>
            <w:r>
              <w:rPr>
                <w:rFonts w:hint="eastAsia" w:ascii="仿宋" w:hAnsi="仿宋" w:cs="Times New Roman"/>
                <w:color w:val="auto"/>
                <w:kern w:val="0"/>
                <w:sz w:val="22"/>
              </w:rPr>
              <w:t>具备独立工作能力，服务态度好，细心，严守秘密</w:t>
            </w:r>
          </w:p>
        </w:tc>
        <w:tc>
          <w:tcPr>
            <w:tcW w:w="1542" w:type="dxa"/>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≥6</w:t>
            </w:r>
          </w:p>
        </w:tc>
      </w:tr>
    </w:tbl>
    <w:p>
      <w:pPr>
        <w:ind w:left="480" w:leftChars="200" w:firstLine="0" w:firstLineChars="0"/>
        <w:rPr>
          <w:rFonts w:ascii="仿宋" w:hAnsi="仿宋" w:cs="仿宋"/>
          <w:b/>
          <w:color w:val="auto"/>
          <w:szCs w:val="24"/>
        </w:rPr>
      </w:pPr>
    </w:p>
    <w:p>
      <w:pPr>
        <w:spacing w:beforeLines="50"/>
        <w:ind w:firstLine="0" w:firstLineChars="0"/>
        <w:rPr>
          <w:rFonts w:ascii="仿宋" w:hAnsi="仿宋" w:cs="仿宋"/>
          <w:b/>
          <w:color w:val="auto"/>
          <w:szCs w:val="24"/>
        </w:rPr>
      </w:pPr>
      <w:r>
        <w:rPr>
          <w:rFonts w:hint="eastAsia" w:ascii="仿宋" w:hAnsi="仿宋" w:cs="仿宋"/>
          <w:b/>
          <w:color w:val="auto"/>
          <w:szCs w:val="24"/>
        </w:rPr>
        <w:t>十一、成绩评定</w:t>
      </w:r>
    </w:p>
    <w:p>
      <w:pPr>
        <w:autoSpaceDE w:val="0"/>
        <w:autoSpaceDN w:val="0"/>
        <w:ind w:firstLine="480"/>
        <w:rPr>
          <w:rFonts w:ascii="仿宋" w:hAnsi="仿宋" w:cs="Times New Roman"/>
          <w:color w:val="auto"/>
          <w:kern w:val="0"/>
          <w:szCs w:val="24"/>
        </w:rPr>
      </w:pPr>
      <w:r>
        <w:rPr>
          <w:rFonts w:ascii="仿宋" w:hAnsi="仿宋" w:cs="Times New Roman"/>
          <w:color w:val="auto"/>
          <w:kern w:val="0"/>
          <w:szCs w:val="24"/>
        </w:rPr>
        <w:t>（一）评分方法</w:t>
      </w:r>
    </w:p>
    <w:p>
      <w:pPr>
        <w:autoSpaceDE w:val="0"/>
        <w:autoSpaceDN w:val="0"/>
        <w:ind w:firstLine="480"/>
        <w:rPr>
          <w:rFonts w:ascii="仿宋" w:hAnsi="仿宋" w:cs="Times New Roman"/>
          <w:color w:val="auto"/>
          <w:kern w:val="0"/>
          <w:szCs w:val="24"/>
        </w:rPr>
      </w:pPr>
      <w:r>
        <w:rPr>
          <w:rFonts w:ascii="仿宋" w:hAnsi="仿宋" w:cs="Times New Roman"/>
          <w:color w:val="auto"/>
          <w:kern w:val="0"/>
          <w:szCs w:val="24"/>
        </w:rPr>
        <w:t>1.裁判队伍组成</w:t>
      </w:r>
    </w:p>
    <w:p>
      <w:pPr>
        <w:autoSpaceDE w:val="0"/>
        <w:autoSpaceDN w:val="0"/>
        <w:ind w:firstLine="448"/>
        <w:rPr>
          <w:rFonts w:ascii="仿宋" w:hAnsi="仿宋" w:cs="Times New Roman"/>
          <w:b/>
          <w:bCs/>
          <w:color w:val="auto"/>
          <w:kern w:val="0"/>
          <w:szCs w:val="24"/>
        </w:rPr>
      </w:pPr>
      <w:r>
        <w:rPr>
          <w:rFonts w:ascii="仿宋" w:hAnsi="仿宋" w:cs="Times New Roman"/>
          <w:color w:val="auto"/>
          <w:spacing w:val="-8"/>
          <w:kern w:val="0"/>
          <w:szCs w:val="24"/>
        </w:rPr>
        <w:t>成绩评定实行裁判长负责制，裁判组独立完成成绩评定工作。由竞赛裁判经验丰富的人员组成，</w:t>
      </w:r>
      <w:r>
        <w:rPr>
          <w:rFonts w:ascii="仿宋" w:hAnsi="仿宋" w:cs="Times New Roman"/>
          <w:color w:val="auto"/>
          <w:spacing w:val="-13"/>
          <w:kern w:val="0"/>
          <w:szCs w:val="24"/>
        </w:rPr>
        <w:t>具体</w:t>
      </w:r>
      <w:r>
        <w:rPr>
          <w:rFonts w:hint="eastAsia" w:ascii="仿宋" w:hAnsi="仿宋" w:cs="Times New Roman"/>
          <w:color w:val="auto"/>
          <w:spacing w:val="-13"/>
          <w:kern w:val="0"/>
          <w:szCs w:val="24"/>
        </w:rPr>
        <w:t>组成和</w:t>
      </w:r>
      <w:r>
        <w:rPr>
          <w:rFonts w:ascii="仿宋" w:hAnsi="仿宋" w:cs="Times New Roman"/>
          <w:color w:val="auto"/>
          <w:spacing w:val="-13"/>
          <w:kern w:val="0"/>
          <w:szCs w:val="24"/>
        </w:rPr>
        <w:t>要求如下表</w:t>
      </w:r>
      <w:r>
        <w:rPr>
          <w:rFonts w:hint="eastAsia" w:ascii="仿宋" w:hAnsi="仿宋" w:cs="Times New Roman"/>
          <w:color w:val="auto"/>
          <w:kern w:val="0"/>
          <w:szCs w:val="24"/>
        </w:rPr>
        <w:t>。</w:t>
      </w:r>
    </w:p>
    <w:p>
      <w:pPr>
        <w:tabs>
          <w:tab w:val="left" w:pos="3834"/>
        </w:tabs>
        <w:autoSpaceDE w:val="0"/>
        <w:autoSpaceDN w:val="0"/>
        <w:ind w:firstLine="0" w:firstLineChars="0"/>
        <w:jc w:val="center"/>
        <w:outlineLvl w:val="1"/>
        <w:rPr>
          <w:rFonts w:ascii="仿宋" w:hAnsi="仿宋" w:cs="Times New Roman"/>
          <w:color w:val="auto"/>
          <w:kern w:val="0"/>
          <w:szCs w:val="24"/>
        </w:rPr>
      </w:pPr>
      <w:r>
        <w:rPr>
          <w:rFonts w:hint="eastAsia" w:ascii="仿宋" w:hAnsi="仿宋" w:cs="Times New Roman"/>
          <w:color w:val="auto"/>
          <w:kern w:val="0"/>
          <w:szCs w:val="24"/>
        </w:rPr>
        <w:t>表9.</w:t>
      </w:r>
      <w:r>
        <w:rPr>
          <w:rFonts w:ascii="仿宋" w:hAnsi="仿宋" w:cs="Times New Roman"/>
          <w:color w:val="auto"/>
          <w:kern w:val="0"/>
          <w:szCs w:val="24"/>
        </w:rPr>
        <w:t>裁判员</w:t>
      </w:r>
      <w:r>
        <w:rPr>
          <w:rFonts w:hint="eastAsia" w:ascii="仿宋" w:hAnsi="仿宋" w:cs="Times New Roman"/>
          <w:color w:val="auto"/>
          <w:kern w:val="0"/>
          <w:szCs w:val="24"/>
        </w:rPr>
        <w:t>组成与</w:t>
      </w:r>
      <w:r>
        <w:rPr>
          <w:rFonts w:ascii="仿宋" w:hAnsi="仿宋" w:cs="Times New Roman"/>
          <w:color w:val="auto"/>
          <w:kern w:val="0"/>
          <w:szCs w:val="24"/>
        </w:rPr>
        <w:t>执裁资格要求</w:t>
      </w:r>
    </w:p>
    <w:tbl>
      <w:tblPr>
        <w:tblStyle w:val="15"/>
        <w:tblW w:w="850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66"/>
        <w:gridCol w:w="1593"/>
        <w:gridCol w:w="2660"/>
        <w:gridCol w:w="1276"/>
        <w:gridCol w:w="1701"/>
        <w:gridCol w:w="60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jc w:val="center"/>
        </w:trPr>
        <w:tc>
          <w:tcPr>
            <w:tcW w:w="666" w:type="dxa"/>
            <w:tcBorders>
              <w:bottom w:val="single" w:color="000000" w:sz="4" w:space="0"/>
              <w:right w:val="single" w:color="000000" w:sz="4" w:space="0"/>
            </w:tcBorders>
            <w:vAlign w:val="center"/>
          </w:tcPr>
          <w:p>
            <w:pPr>
              <w:autoSpaceDE w:val="0"/>
              <w:autoSpaceDN w:val="0"/>
              <w:spacing w:line="240" w:lineRule="auto"/>
              <w:ind w:firstLine="0" w:firstLineChars="0"/>
              <w:jc w:val="center"/>
              <w:rPr>
                <w:rFonts w:ascii="仿宋" w:hAnsi="仿宋" w:cs="Times New Roman"/>
                <w:bCs/>
                <w:color w:val="auto"/>
                <w:kern w:val="0"/>
                <w:sz w:val="22"/>
                <w:lang w:eastAsia="en-US"/>
              </w:rPr>
            </w:pPr>
            <w:r>
              <w:rPr>
                <w:rFonts w:ascii="仿宋" w:hAnsi="仿宋" w:cs="Times New Roman"/>
                <w:bCs/>
                <w:color w:val="auto"/>
                <w:kern w:val="0"/>
                <w:sz w:val="22"/>
                <w:lang w:eastAsia="en-US"/>
              </w:rPr>
              <w:t>序号</w:t>
            </w:r>
          </w:p>
        </w:tc>
        <w:tc>
          <w:tcPr>
            <w:tcW w:w="1593" w:type="dxa"/>
            <w:tcBorders>
              <w:left w:val="single" w:color="000000" w:sz="4" w:space="0"/>
              <w:bottom w:val="single" w:color="000000" w:sz="4" w:space="0"/>
              <w:right w:val="single" w:color="000000" w:sz="4" w:space="0"/>
            </w:tcBorders>
            <w:vAlign w:val="center"/>
          </w:tcPr>
          <w:p>
            <w:pPr>
              <w:autoSpaceDE w:val="0"/>
              <w:autoSpaceDN w:val="0"/>
              <w:spacing w:line="240" w:lineRule="auto"/>
              <w:ind w:firstLine="0" w:firstLineChars="0"/>
              <w:jc w:val="center"/>
              <w:rPr>
                <w:rFonts w:ascii="仿宋" w:hAnsi="仿宋" w:cs="Times New Roman"/>
                <w:bCs/>
                <w:color w:val="auto"/>
                <w:kern w:val="0"/>
                <w:sz w:val="22"/>
              </w:rPr>
            </w:pPr>
            <w:r>
              <w:rPr>
                <w:rFonts w:ascii="仿宋" w:hAnsi="仿宋" w:cs="Times New Roman"/>
                <w:color w:val="auto"/>
                <w:kern w:val="0"/>
                <w:sz w:val="22"/>
              </w:rPr>
              <w:t>裁判员</w:t>
            </w:r>
            <w:r>
              <w:rPr>
                <w:rFonts w:hint="eastAsia" w:ascii="仿宋" w:hAnsi="仿宋" w:cs="Times New Roman"/>
                <w:color w:val="auto"/>
                <w:kern w:val="0"/>
                <w:sz w:val="22"/>
              </w:rPr>
              <w:t>类别</w:t>
            </w:r>
          </w:p>
        </w:tc>
        <w:tc>
          <w:tcPr>
            <w:tcW w:w="2660" w:type="dxa"/>
            <w:tcBorders>
              <w:left w:val="single" w:color="000000" w:sz="4" w:space="0"/>
              <w:bottom w:val="single" w:color="000000" w:sz="4" w:space="0"/>
              <w:right w:val="single" w:color="000000" w:sz="4" w:space="0"/>
            </w:tcBorders>
            <w:vAlign w:val="center"/>
          </w:tcPr>
          <w:p>
            <w:pPr>
              <w:autoSpaceDE w:val="0"/>
              <w:autoSpaceDN w:val="0"/>
              <w:spacing w:line="240" w:lineRule="auto"/>
              <w:ind w:firstLine="0" w:firstLineChars="0"/>
              <w:jc w:val="center"/>
              <w:rPr>
                <w:rFonts w:ascii="仿宋" w:hAnsi="仿宋" w:cs="Times New Roman"/>
                <w:bCs/>
                <w:color w:val="auto"/>
                <w:kern w:val="0"/>
                <w:sz w:val="22"/>
                <w:lang w:eastAsia="en-US"/>
              </w:rPr>
            </w:pPr>
            <w:r>
              <w:rPr>
                <w:rFonts w:ascii="仿宋" w:hAnsi="仿宋" w:cs="Times New Roman"/>
                <w:bCs/>
                <w:color w:val="auto"/>
                <w:kern w:val="0"/>
                <w:sz w:val="22"/>
                <w:lang w:eastAsia="en-US"/>
              </w:rPr>
              <w:t>知识能力要求</w:t>
            </w:r>
          </w:p>
        </w:tc>
        <w:tc>
          <w:tcPr>
            <w:tcW w:w="1276" w:type="dxa"/>
            <w:tcBorders>
              <w:left w:val="single" w:color="000000" w:sz="4" w:space="0"/>
              <w:bottom w:val="single" w:color="000000" w:sz="4" w:space="0"/>
              <w:right w:val="single" w:color="000000" w:sz="4" w:space="0"/>
            </w:tcBorders>
            <w:vAlign w:val="center"/>
          </w:tcPr>
          <w:p>
            <w:pPr>
              <w:autoSpaceDE w:val="0"/>
              <w:autoSpaceDN w:val="0"/>
              <w:spacing w:line="240" w:lineRule="auto"/>
              <w:ind w:firstLine="0" w:firstLineChars="0"/>
              <w:jc w:val="center"/>
              <w:rPr>
                <w:rFonts w:ascii="仿宋" w:hAnsi="仿宋" w:cs="Times New Roman"/>
                <w:bCs/>
                <w:color w:val="auto"/>
                <w:kern w:val="0"/>
                <w:sz w:val="22"/>
              </w:rPr>
            </w:pPr>
            <w:r>
              <w:rPr>
                <w:rFonts w:ascii="仿宋" w:hAnsi="仿宋" w:cs="Times New Roman"/>
                <w:bCs/>
                <w:color w:val="auto"/>
                <w:w w:val="95"/>
                <w:kern w:val="0"/>
                <w:sz w:val="22"/>
              </w:rPr>
              <w:t>工</w:t>
            </w:r>
            <w:r>
              <w:rPr>
                <w:rFonts w:ascii="仿宋" w:hAnsi="仿宋" w:cs="Times New Roman"/>
                <w:bCs/>
                <w:color w:val="auto"/>
                <w:kern w:val="0"/>
                <w:sz w:val="22"/>
              </w:rPr>
              <w:t>作经历</w:t>
            </w:r>
          </w:p>
        </w:tc>
        <w:tc>
          <w:tcPr>
            <w:tcW w:w="1701" w:type="dxa"/>
            <w:tcBorders>
              <w:left w:val="single" w:color="000000" w:sz="4" w:space="0"/>
              <w:bottom w:val="single" w:color="000000" w:sz="4" w:space="0"/>
              <w:right w:val="single" w:color="000000" w:sz="4" w:space="0"/>
            </w:tcBorders>
            <w:vAlign w:val="center"/>
          </w:tcPr>
          <w:p>
            <w:pPr>
              <w:autoSpaceDE w:val="0"/>
              <w:autoSpaceDN w:val="0"/>
              <w:spacing w:line="240" w:lineRule="auto"/>
              <w:ind w:firstLine="0" w:firstLineChars="0"/>
              <w:jc w:val="center"/>
              <w:rPr>
                <w:rFonts w:ascii="仿宋" w:hAnsi="仿宋" w:cs="Times New Roman"/>
                <w:bCs/>
                <w:color w:val="auto"/>
                <w:kern w:val="0"/>
                <w:sz w:val="22"/>
              </w:rPr>
            </w:pPr>
            <w:r>
              <w:rPr>
                <w:rFonts w:ascii="仿宋" w:hAnsi="仿宋" w:cs="Times New Roman"/>
                <w:bCs/>
                <w:color w:val="auto"/>
                <w:kern w:val="0"/>
                <w:sz w:val="22"/>
              </w:rPr>
              <w:t>专业技术职称</w:t>
            </w:r>
          </w:p>
          <w:p>
            <w:pPr>
              <w:autoSpaceDE w:val="0"/>
              <w:autoSpaceDN w:val="0"/>
              <w:spacing w:line="240" w:lineRule="auto"/>
              <w:ind w:firstLine="0" w:firstLineChars="0"/>
              <w:jc w:val="center"/>
              <w:rPr>
                <w:rFonts w:ascii="仿宋" w:hAnsi="仿宋" w:cs="Times New Roman"/>
                <w:bCs/>
                <w:color w:val="auto"/>
                <w:kern w:val="0"/>
                <w:sz w:val="22"/>
              </w:rPr>
            </w:pPr>
            <w:r>
              <w:rPr>
                <w:rFonts w:hint="eastAsia" w:ascii="仿宋" w:hAnsi="仿宋" w:cs="Times New Roman"/>
                <w:bCs/>
                <w:color w:val="auto"/>
                <w:kern w:val="0"/>
                <w:sz w:val="22"/>
              </w:rPr>
              <w:t>或资格</w:t>
            </w:r>
            <w:r>
              <w:rPr>
                <w:rFonts w:ascii="仿宋" w:hAnsi="仿宋" w:cs="Times New Roman"/>
                <w:bCs/>
                <w:color w:val="auto"/>
                <w:kern w:val="0"/>
                <w:sz w:val="22"/>
              </w:rPr>
              <w:t>等级</w:t>
            </w:r>
          </w:p>
        </w:tc>
        <w:tc>
          <w:tcPr>
            <w:tcW w:w="608" w:type="dxa"/>
            <w:tcBorders>
              <w:left w:val="single" w:color="000000" w:sz="4" w:space="0"/>
              <w:bottom w:val="single" w:color="000000" w:sz="4" w:space="0"/>
            </w:tcBorders>
            <w:vAlign w:val="center"/>
          </w:tcPr>
          <w:p>
            <w:pPr>
              <w:autoSpaceDE w:val="0"/>
              <w:autoSpaceDN w:val="0"/>
              <w:spacing w:line="240" w:lineRule="auto"/>
              <w:ind w:firstLine="0" w:firstLineChars="0"/>
              <w:jc w:val="center"/>
              <w:rPr>
                <w:rFonts w:ascii="仿宋" w:hAnsi="仿宋" w:cs="Times New Roman"/>
                <w:bCs/>
                <w:color w:val="auto"/>
                <w:kern w:val="0"/>
                <w:sz w:val="22"/>
                <w:lang w:eastAsia="en-US"/>
              </w:rPr>
            </w:pPr>
            <w:r>
              <w:rPr>
                <w:rFonts w:ascii="仿宋" w:hAnsi="仿宋" w:cs="Times New Roman"/>
                <w:bCs/>
                <w:color w:val="auto"/>
                <w:kern w:val="0"/>
                <w:sz w:val="22"/>
                <w:lang w:eastAsia="en-US"/>
              </w:rPr>
              <w:t>人数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0" w:hRule="atLeast"/>
          <w:jc w:val="center"/>
        </w:trPr>
        <w:tc>
          <w:tcPr>
            <w:tcW w:w="666" w:type="dxa"/>
            <w:tcBorders>
              <w:top w:val="single" w:color="000000" w:sz="4" w:space="0"/>
              <w:bottom w:val="single" w:color="000000" w:sz="4" w:space="0"/>
              <w:right w:val="single" w:color="000000" w:sz="4" w:space="0"/>
            </w:tcBorders>
            <w:vAlign w:val="center"/>
          </w:tcPr>
          <w:p>
            <w:pPr>
              <w:autoSpaceDE w:val="0"/>
              <w:autoSpaceDN w:val="0"/>
              <w:spacing w:line="240" w:lineRule="auto"/>
              <w:ind w:firstLine="0" w:firstLineChars="0"/>
              <w:jc w:val="center"/>
              <w:rPr>
                <w:rFonts w:ascii="仿宋" w:hAnsi="仿宋" w:cs="Times New Roman"/>
                <w:color w:val="auto"/>
                <w:kern w:val="0"/>
                <w:sz w:val="22"/>
                <w:lang w:eastAsia="en-US"/>
              </w:rPr>
            </w:pPr>
            <w:r>
              <w:rPr>
                <w:rFonts w:ascii="仿宋" w:hAnsi="仿宋" w:cs="Times New Roman"/>
                <w:color w:val="auto"/>
                <w:w w:val="82"/>
                <w:kern w:val="0"/>
                <w:sz w:val="22"/>
                <w:lang w:eastAsia="en-US"/>
              </w:rPr>
              <w:t>1</w:t>
            </w:r>
          </w:p>
        </w:tc>
        <w:tc>
          <w:tcPr>
            <w:tcW w:w="1593"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加密裁判</w:t>
            </w:r>
          </w:p>
        </w:tc>
        <w:tc>
          <w:tcPr>
            <w:tcW w:w="266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ind w:firstLine="0" w:firstLineChars="0"/>
              <w:jc w:val="left"/>
              <w:rPr>
                <w:rFonts w:ascii="仿宋" w:hAnsi="仿宋" w:cs="Times New Roman"/>
                <w:color w:val="auto"/>
                <w:kern w:val="0"/>
                <w:sz w:val="22"/>
              </w:rPr>
            </w:pPr>
            <w:r>
              <w:rPr>
                <w:rFonts w:hint="eastAsia" w:ascii="仿宋" w:hAnsi="仿宋" w:cs="Times New Roman"/>
                <w:color w:val="auto"/>
                <w:kern w:val="0"/>
                <w:sz w:val="22"/>
              </w:rPr>
              <w:t>熟悉加密规则，了解加密程序，掌握加密和解密方法，做事细心、认真等</w:t>
            </w:r>
          </w:p>
        </w:tc>
        <w:tc>
          <w:tcPr>
            <w:tcW w:w="12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ind w:firstLine="0" w:firstLineChars="0"/>
              <w:jc w:val="center"/>
              <w:rPr>
                <w:rFonts w:ascii="仿宋" w:hAnsi="仿宋" w:cs="Times New Roman"/>
                <w:color w:val="auto"/>
                <w:spacing w:val="-24"/>
                <w:kern w:val="0"/>
                <w:sz w:val="22"/>
              </w:rPr>
            </w:pPr>
            <w:r>
              <w:rPr>
                <w:rFonts w:hint="eastAsia" w:ascii="仿宋" w:hAnsi="仿宋" w:cs="Times New Roman"/>
                <w:color w:val="auto"/>
                <w:spacing w:val="-24"/>
                <w:kern w:val="0"/>
                <w:sz w:val="22"/>
              </w:rPr>
              <w:t>无要求</w:t>
            </w:r>
          </w:p>
        </w:tc>
        <w:tc>
          <w:tcPr>
            <w:tcW w:w="1701"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spacing w:val="-24"/>
                <w:kern w:val="0"/>
                <w:sz w:val="22"/>
              </w:rPr>
              <w:t>无要求</w:t>
            </w:r>
          </w:p>
        </w:tc>
        <w:tc>
          <w:tcPr>
            <w:tcW w:w="608" w:type="dxa"/>
            <w:tcBorders>
              <w:top w:val="single" w:color="000000" w:sz="4" w:space="0"/>
              <w:left w:val="single" w:color="000000" w:sz="4" w:space="0"/>
              <w:bottom w:val="single" w:color="000000" w:sz="4" w:space="0"/>
            </w:tcBorders>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0" w:hRule="atLeast"/>
          <w:jc w:val="center"/>
        </w:trPr>
        <w:tc>
          <w:tcPr>
            <w:tcW w:w="666" w:type="dxa"/>
            <w:tcBorders>
              <w:top w:val="single" w:color="000000" w:sz="4" w:space="0"/>
              <w:bottom w:val="single" w:color="000000" w:sz="4" w:space="0"/>
              <w:right w:val="single" w:color="000000" w:sz="4" w:space="0"/>
            </w:tcBorders>
            <w:vAlign w:val="center"/>
          </w:tcPr>
          <w:p>
            <w:pPr>
              <w:autoSpaceDE w:val="0"/>
              <w:autoSpaceDN w:val="0"/>
              <w:spacing w:line="240" w:lineRule="auto"/>
              <w:ind w:firstLine="0" w:firstLineChars="0"/>
              <w:jc w:val="center"/>
              <w:rPr>
                <w:rFonts w:ascii="仿宋" w:hAnsi="仿宋" w:cs="Times New Roman"/>
                <w:b/>
                <w:color w:val="auto"/>
                <w:kern w:val="0"/>
                <w:sz w:val="22"/>
              </w:rPr>
            </w:pPr>
            <w:r>
              <w:rPr>
                <w:rFonts w:hint="eastAsia" w:ascii="仿宋" w:hAnsi="仿宋" w:cs="Times New Roman"/>
                <w:bCs/>
                <w:color w:val="auto"/>
                <w:kern w:val="0"/>
                <w:sz w:val="22"/>
              </w:rPr>
              <w:t>2</w:t>
            </w:r>
          </w:p>
        </w:tc>
        <w:tc>
          <w:tcPr>
            <w:tcW w:w="1593"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施工操作</w:t>
            </w:r>
          </w:p>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现场裁判</w:t>
            </w:r>
          </w:p>
        </w:tc>
        <w:tc>
          <w:tcPr>
            <w:tcW w:w="2660"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ind w:firstLine="0" w:firstLineChars="0"/>
              <w:jc w:val="left"/>
              <w:rPr>
                <w:rFonts w:ascii="仿宋" w:hAnsi="仿宋" w:cs="Times New Roman"/>
                <w:color w:val="auto"/>
                <w:kern w:val="0"/>
                <w:sz w:val="22"/>
              </w:rPr>
            </w:pPr>
            <w:r>
              <w:rPr>
                <w:rFonts w:hint="eastAsia" w:ascii="仿宋" w:hAnsi="仿宋" w:cs="Times New Roman"/>
                <w:color w:val="auto"/>
                <w:kern w:val="0"/>
                <w:sz w:val="22"/>
              </w:rPr>
              <w:t>熟悉建筑装饰施工规范，了解装饰施工工艺流程，懂装饰施工质量验收，会使用测量工具等</w:t>
            </w:r>
          </w:p>
        </w:tc>
        <w:tc>
          <w:tcPr>
            <w:tcW w:w="1276"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ind w:firstLine="0" w:firstLineChars="0"/>
              <w:rPr>
                <w:rFonts w:ascii="仿宋" w:hAnsi="仿宋" w:cs="Times New Roman"/>
                <w:color w:val="auto"/>
                <w:kern w:val="0"/>
                <w:sz w:val="22"/>
              </w:rPr>
            </w:pPr>
            <w:r>
              <w:rPr>
                <w:rFonts w:hint="eastAsia" w:ascii="仿宋" w:hAnsi="仿宋" w:cs="Times New Roman"/>
                <w:color w:val="auto"/>
                <w:kern w:val="0"/>
                <w:sz w:val="22"/>
              </w:rPr>
              <w:t>有国赛和省赛执裁经历者优先</w:t>
            </w:r>
          </w:p>
        </w:tc>
        <w:tc>
          <w:tcPr>
            <w:tcW w:w="1701" w:type="dxa"/>
            <w:tcBorders>
              <w:top w:val="single" w:color="000000" w:sz="4" w:space="0"/>
              <w:left w:val="single" w:color="000000" w:sz="4" w:space="0"/>
              <w:bottom w:val="single" w:color="000000" w:sz="4" w:space="0"/>
              <w:right w:val="single" w:color="000000" w:sz="4" w:space="0"/>
            </w:tcBorders>
            <w:vAlign w:val="center"/>
          </w:tcPr>
          <w:p>
            <w:pPr>
              <w:autoSpaceDE w:val="0"/>
              <w:autoSpaceDN w:val="0"/>
              <w:spacing w:line="240" w:lineRule="auto"/>
              <w:ind w:firstLine="0" w:firstLineChars="0"/>
              <w:rPr>
                <w:rFonts w:ascii="仿宋" w:hAnsi="仿宋" w:cs="Times New Roman"/>
                <w:color w:val="auto"/>
                <w:kern w:val="0"/>
                <w:sz w:val="22"/>
              </w:rPr>
            </w:pPr>
            <w:r>
              <w:rPr>
                <w:rFonts w:hint="eastAsia" w:ascii="仿宋" w:hAnsi="仿宋" w:cs="Times New Roman"/>
                <w:color w:val="auto"/>
                <w:kern w:val="0"/>
                <w:sz w:val="22"/>
              </w:rPr>
              <w:t>中级职称及以上</w:t>
            </w:r>
          </w:p>
          <w:p>
            <w:pPr>
              <w:autoSpaceDE w:val="0"/>
              <w:autoSpaceDN w:val="0"/>
              <w:spacing w:line="240" w:lineRule="auto"/>
              <w:ind w:firstLine="0" w:firstLineChars="0"/>
              <w:rPr>
                <w:rFonts w:ascii="仿宋" w:hAnsi="仿宋" w:cs="Times New Roman"/>
                <w:color w:val="auto"/>
                <w:kern w:val="0"/>
                <w:sz w:val="22"/>
              </w:rPr>
            </w:pPr>
            <w:r>
              <w:rPr>
                <w:rFonts w:hint="eastAsia" w:ascii="仿宋" w:hAnsi="仿宋" w:cs="Times New Roman"/>
                <w:color w:val="auto"/>
                <w:kern w:val="0"/>
                <w:sz w:val="22"/>
              </w:rPr>
              <w:t>技师及以上</w:t>
            </w:r>
          </w:p>
        </w:tc>
        <w:tc>
          <w:tcPr>
            <w:tcW w:w="608" w:type="dxa"/>
            <w:tcBorders>
              <w:top w:val="single" w:color="000000" w:sz="4" w:space="0"/>
              <w:left w:val="single" w:color="000000" w:sz="4" w:space="0"/>
              <w:bottom w:val="single" w:color="000000" w:sz="4" w:space="0"/>
            </w:tcBorders>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0" w:hRule="atLeast"/>
          <w:jc w:val="center"/>
        </w:trPr>
        <w:tc>
          <w:tcPr>
            <w:tcW w:w="666" w:type="dxa"/>
            <w:tcBorders>
              <w:top w:val="single" w:color="000000" w:sz="4" w:space="0"/>
              <w:bottom w:val="single" w:color="auto" w:sz="4" w:space="0"/>
              <w:right w:val="single" w:color="000000" w:sz="4" w:space="0"/>
            </w:tcBorders>
            <w:vAlign w:val="center"/>
          </w:tcPr>
          <w:p>
            <w:pPr>
              <w:autoSpaceDE w:val="0"/>
              <w:autoSpaceDN w:val="0"/>
              <w:spacing w:line="240" w:lineRule="auto"/>
              <w:ind w:firstLine="0" w:firstLineChars="0"/>
              <w:jc w:val="center"/>
              <w:rPr>
                <w:rFonts w:ascii="仿宋" w:hAnsi="仿宋" w:cs="Times New Roman"/>
                <w:color w:val="auto"/>
                <w:kern w:val="0"/>
                <w:sz w:val="22"/>
                <w:lang w:eastAsia="en-US"/>
              </w:rPr>
            </w:pPr>
            <w:r>
              <w:rPr>
                <w:rFonts w:ascii="仿宋" w:hAnsi="仿宋" w:cs="Times New Roman"/>
                <w:color w:val="auto"/>
                <w:w w:val="82"/>
                <w:kern w:val="0"/>
                <w:sz w:val="22"/>
                <w:lang w:eastAsia="en-US"/>
              </w:rPr>
              <w:t>3</w:t>
            </w:r>
          </w:p>
        </w:tc>
        <w:tc>
          <w:tcPr>
            <w:tcW w:w="1593" w:type="dxa"/>
            <w:tcBorders>
              <w:top w:val="single" w:color="000000" w:sz="4" w:space="0"/>
              <w:left w:val="single" w:color="000000" w:sz="4" w:space="0"/>
              <w:bottom w:val="single" w:color="auto" w:sz="4" w:space="0"/>
              <w:right w:val="single" w:color="000000" w:sz="4" w:space="0"/>
            </w:tcBorders>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施工图设计与材料测算评分裁判</w:t>
            </w:r>
          </w:p>
        </w:tc>
        <w:tc>
          <w:tcPr>
            <w:tcW w:w="2660" w:type="dxa"/>
            <w:tcBorders>
              <w:top w:val="single" w:color="000000" w:sz="4" w:space="0"/>
              <w:left w:val="single" w:color="000000" w:sz="4" w:space="0"/>
              <w:bottom w:val="single" w:color="auto" w:sz="4" w:space="0"/>
              <w:right w:val="single" w:color="000000" w:sz="4" w:space="0"/>
            </w:tcBorders>
            <w:vAlign w:val="center"/>
          </w:tcPr>
          <w:p>
            <w:pPr>
              <w:autoSpaceDE w:val="0"/>
              <w:autoSpaceDN w:val="0"/>
              <w:spacing w:line="240" w:lineRule="auto"/>
              <w:ind w:firstLine="0" w:firstLineChars="0"/>
              <w:jc w:val="left"/>
              <w:rPr>
                <w:rFonts w:ascii="仿宋" w:hAnsi="仿宋" w:cs="Times New Roman"/>
                <w:color w:val="auto"/>
                <w:kern w:val="0"/>
                <w:sz w:val="22"/>
              </w:rPr>
            </w:pPr>
            <w:r>
              <w:rPr>
                <w:rFonts w:hint="eastAsia" w:ascii="仿宋" w:hAnsi="仿宋" w:cs="Times New Roman"/>
                <w:color w:val="auto"/>
                <w:kern w:val="0"/>
                <w:sz w:val="22"/>
              </w:rPr>
              <w:t>熟悉建筑装饰施工图设计标准，精通CAD操作，熟悉装饰工程量计算等</w:t>
            </w:r>
          </w:p>
        </w:tc>
        <w:tc>
          <w:tcPr>
            <w:tcW w:w="1276" w:type="dxa"/>
            <w:tcBorders>
              <w:top w:val="single" w:color="000000" w:sz="4" w:space="0"/>
              <w:left w:val="single" w:color="000000" w:sz="4" w:space="0"/>
              <w:bottom w:val="single" w:color="auto" w:sz="4" w:space="0"/>
              <w:right w:val="single" w:color="000000" w:sz="4" w:space="0"/>
            </w:tcBorders>
            <w:vAlign w:val="center"/>
          </w:tcPr>
          <w:p>
            <w:pPr>
              <w:autoSpaceDE w:val="0"/>
              <w:autoSpaceDN w:val="0"/>
              <w:spacing w:line="240" w:lineRule="auto"/>
              <w:ind w:firstLine="0" w:firstLineChars="0"/>
              <w:rPr>
                <w:rFonts w:ascii="仿宋" w:hAnsi="仿宋" w:cs="Times New Roman"/>
                <w:color w:val="auto"/>
                <w:kern w:val="0"/>
                <w:sz w:val="22"/>
              </w:rPr>
            </w:pPr>
            <w:r>
              <w:rPr>
                <w:rFonts w:hint="eastAsia" w:ascii="仿宋" w:hAnsi="仿宋" w:cs="Times New Roman"/>
                <w:color w:val="auto"/>
                <w:kern w:val="0"/>
                <w:sz w:val="22"/>
              </w:rPr>
              <w:t>有国赛和省赛执裁经历者优先</w:t>
            </w:r>
          </w:p>
        </w:tc>
        <w:tc>
          <w:tcPr>
            <w:tcW w:w="1701" w:type="dxa"/>
            <w:tcBorders>
              <w:top w:val="single" w:color="000000" w:sz="4" w:space="0"/>
              <w:left w:val="single" w:color="000000" w:sz="4" w:space="0"/>
              <w:bottom w:val="single" w:color="auto" w:sz="4" w:space="0"/>
              <w:right w:val="single" w:color="000000" w:sz="4" w:space="0"/>
            </w:tcBorders>
            <w:vAlign w:val="center"/>
          </w:tcPr>
          <w:p>
            <w:pPr>
              <w:autoSpaceDE w:val="0"/>
              <w:autoSpaceDN w:val="0"/>
              <w:spacing w:line="240" w:lineRule="auto"/>
              <w:ind w:firstLine="0" w:firstLineChars="0"/>
              <w:rPr>
                <w:rFonts w:ascii="仿宋" w:hAnsi="仿宋" w:cs="Times New Roman"/>
                <w:color w:val="auto"/>
                <w:kern w:val="0"/>
                <w:sz w:val="22"/>
              </w:rPr>
            </w:pPr>
            <w:r>
              <w:rPr>
                <w:rFonts w:hint="eastAsia" w:ascii="仿宋" w:hAnsi="仿宋" w:cs="Times New Roman"/>
                <w:color w:val="auto"/>
                <w:kern w:val="0"/>
                <w:sz w:val="22"/>
              </w:rPr>
              <w:t>中级职称及以上</w:t>
            </w:r>
          </w:p>
        </w:tc>
        <w:tc>
          <w:tcPr>
            <w:tcW w:w="608" w:type="dxa"/>
            <w:tcBorders>
              <w:top w:val="single" w:color="000000" w:sz="4" w:space="0"/>
              <w:left w:val="single" w:color="000000" w:sz="4" w:space="0"/>
              <w:bottom w:val="single" w:color="auto" w:sz="4" w:space="0"/>
            </w:tcBorders>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0" w:hRule="atLeast"/>
          <w:jc w:val="center"/>
        </w:trPr>
        <w:tc>
          <w:tcPr>
            <w:tcW w:w="666" w:type="dxa"/>
            <w:tcBorders>
              <w:top w:val="single" w:color="auto" w:sz="4" w:space="0"/>
              <w:bottom w:val="single" w:color="auto" w:sz="4" w:space="0"/>
              <w:right w:val="single" w:color="000000" w:sz="4" w:space="0"/>
            </w:tcBorders>
            <w:vAlign w:val="center"/>
          </w:tcPr>
          <w:p>
            <w:pPr>
              <w:autoSpaceDE w:val="0"/>
              <w:autoSpaceDN w:val="0"/>
              <w:spacing w:line="240" w:lineRule="auto"/>
              <w:ind w:firstLine="0" w:firstLineChars="0"/>
              <w:jc w:val="center"/>
              <w:rPr>
                <w:rFonts w:ascii="仿宋" w:hAnsi="仿宋" w:cs="Times New Roman"/>
                <w:color w:val="auto"/>
                <w:w w:val="82"/>
                <w:kern w:val="0"/>
                <w:sz w:val="22"/>
              </w:rPr>
            </w:pPr>
            <w:r>
              <w:rPr>
                <w:rFonts w:hint="eastAsia" w:ascii="仿宋" w:hAnsi="仿宋" w:cs="Times New Roman"/>
                <w:color w:val="auto"/>
                <w:w w:val="82"/>
                <w:kern w:val="0"/>
                <w:sz w:val="22"/>
              </w:rPr>
              <w:t>4</w:t>
            </w:r>
          </w:p>
        </w:tc>
        <w:tc>
          <w:tcPr>
            <w:tcW w:w="1593" w:type="dxa"/>
            <w:tcBorders>
              <w:top w:val="single" w:color="auto" w:sz="4" w:space="0"/>
              <w:left w:val="single" w:color="000000" w:sz="4" w:space="0"/>
              <w:bottom w:val="single" w:color="auto" w:sz="4" w:space="0"/>
              <w:right w:val="single" w:color="000000" w:sz="4" w:space="0"/>
            </w:tcBorders>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统分裁判</w:t>
            </w:r>
          </w:p>
        </w:tc>
        <w:tc>
          <w:tcPr>
            <w:tcW w:w="2660" w:type="dxa"/>
            <w:tcBorders>
              <w:top w:val="single" w:color="auto" w:sz="4" w:space="0"/>
              <w:left w:val="single" w:color="000000" w:sz="4" w:space="0"/>
              <w:bottom w:val="single" w:color="auto" w:sz="4" w:space="0"/>
              <w:right w:val="single" w:color="000000" w:sz="4" w:space="0"/>
            </w:tcBorders>
            <w:vAlign w:val="center"/>
          </w:tcPr>
          <w:p>
            <w:pPr>
              <w:autoSpaceDE w:val="0"/>
              <w:autoSpaceDN w:val="0"/>
              <w:spacing w:line="240" w:lineRule="auto"/>
              <w:ind w:firstLine="0" w:firstLineChars="0"/>
              <w:jc w:val="left"/>
              <w:rPr>
                <w:rFonts w:ascii="仿宋" w:hAnsi="仿宋" w:cs="Times New Roman"/>
                <w:color w:val="auto"/>
                <w:kern w:val="0"/>
                <w:sz w:val="22"/>
              </w:rPr>
            </w:pPr>
            <w:r>
              <w:rPr>
                <w:rFonts w:hint="eastAsia" w:ascii="仿宋" w:hAnsi="仿宋" w:cs="Times New Roman"/>
                <w:color w:val="auto"/>
                <w:kern w:val="0"/>
                <w:sz w:val="22"/>
              </w:rPr>
              <w:t>熟悉掌握办公软件，做事细心、认真</w:t>
            </w:r>
          </w:p>
        </w:tc>
        <w:tc>
          <w:tcPr>
            <w:tcW w:w="1276" w:type="dxa"/>
            <w:tcBorders>
              <w:top w:val="single" w:color="auto" w:sz="4" w:space="0"/>
              <w:left w:val="single" w:color="000000" w:sz="4" w:space="0"/>
              <w:bottom w:val="single" w:color="auto" w:sz="4" w:space="0"/>
              <w:right w:val="single" w:color="000000" w:sz="4" w:space="0"/>
            </w:tcBorders>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spacing w:val="-24"/>
                <w:kern w:val="0"/>
                <w:sz w:val="22"/>
              </w:rPr>
              <w:t>无要求</w:t>
            </w:r>
          </w:p>
        </w:tc>
        <w:tc>
          <w:tcPr>
            <w:tcW w:w="1701" w:type="dxa"/>
            <w:tcBorders>
              <w:top w:val="single" w:color="auto" w:sz="4" w:space="0"/>
              <w:left w:val="single" w:color="000000" w:sz="4" w:space="0"/>
              <w:bottom w:val="single" w:color="auto" w:sz="4" w:space="0"/>
              <w:right w:val="single" w:color="000000" w:sz="4" w:space="0"/>
            </w:tcBorders>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spacing w:val="-24"/>
                <w:kern w:val="0"/>
                <w:sz w:val="22"/>
              </w:rPr>
              <w:t>无要求</w:t>
            </w:r>
          </w:p>
        </w:tc>
        <w:tc>
          <w:tcPr>
            <w:tcW w:w="608" w:type="dxa"/>
            <w:tcBorders>
              <w:top w:val="single" w:color="auto" w:sz="4" w:space="0"/>
              <w:left w:val="single" w:color="000000" w:sz="4" w:space="0"/>
              <w:bottom w:val="single" w:color="auto" w:sz="4" w:space="0"/>
            </w:tcBorders>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8504" w:type="dxa"/>
            <w:gridSpan w:val="6"/>
            <w:tcBorders>
              <w:top w:val="single" w:color="000000" w:sz="4" w:space="0"/>
            </w:tcBorders>
            <w:vAlign w:val="center"/>
          </w:tcPr>
          <w:p>
            <w:pPr>
              <w:autoSpaceDE w:val="0"/>
              <w:autoSpaceDN w:val="0"/>
              <w:spacing w:line="240" w:lineRule="auto"/>
              <w:ind w:firstLine="482"/>
              <w:jc w:val="center"/>
              <w:rPr>
                <w:rFonts w:ascii="仿宋" w:hAnsi="仿宋" w:cs="Times New Roman"/>
                <w:b/>
                <w:color w:val="auto"/>
                <w:kern w:val="0"/>
                <w:szCs w:val="24"/>
              </w:rPr>
            </w:pPr>
            <w:r>
              <w:rPr>
                <w:rFonts w:hint="eastAsia" w:ascii="仿宋" w:hAnsi="仿宋" w:cs="Times New Roman"/>
                <w:b/>
                <w:color w:val="auto"/>
                <w:kern w:val="0"/>
                <w:szCs w:val="24"/>
              </w:rPr>
              <w:t>裁判员总数：27（含裁判长）</w:t>
            </w:r>
          </w:p>
        </w:tc>
      </w:tr>
    </w:tbl>
    <w:p>
      <w:pPr>
        <w:autoSpaceDE w:val="0"/>
        <w:autoSpaceDN w:val="0"/>
        <w:ind w:firstLine="480"/>
        <w:rPr>
          <w:rFonts w:ascii="仿宋" w:hAnsi="仿宋" w:cs="Times New Roman"/>
          <w:color w:val="auto"/>
          <w:kern w:val="0"/>
          <w:szCs w:val="24"/>
        </w:rPr>
      </w:pPr>
    </w:p>
    <w:p>
      <w:pPr>
        <w:autoSpaceDE w:val="0"/>
        <w:autoSpaceDN w:val="0"/>
        <w:ind w:firstLine="480"/>
        <w:rPr>
          <w:rFonts w:ascii="仿宋" w:hAnsi="仿宋" w:cs="Times New Roman"/>
          <w:color w:val="auto"/>
          <w:kern w:val="0"/>
          <w:szCs w:val="24"/>
        </w:rPr>
      </w:pPr>
      <w:r>
        <w:rPr>
          <w:rFonts w:ascii="仿宋" w:hAnsi="仿宋" w:cs="Times New Roman"/>
          <w:color w:val="auto"/>
          <w:kern w:val="0"/>
          <w:szCs w:val="24"/>
        </w:rPr>
        <w:t>2.裁判评分方法</w:t>
      </w:r>
    </w:p>
    <w:p>
      <w:pPr>
        <w:autoSpaceDE w:val="0"/>
        <w:autoSpaceDN w:val="0"/>
        <w:ind w:firstLine="427" w:firstLineChars="196"/>
        <w:rPr>
          <w:rFonts w:ascii="仿宋" w:hAnsi="仿宋" w:cs="Times New Roman"/>
          <w:color w:val="auto"/>
          <w:spacing w:val="-11"/>
          <w:kern w:val="0"/>
          <w:szCs w:val="24"/>
        </w:rPr>
      </w:pPr>
      <w:r>
        <w:rPr>
          <w:rFonts w:ascii="仿宋" w:hAnsi="仿宋" w:cs="Times New Roman"/>
          <w:color w:val="auto"/>
          <w:spacing w:val="-11"/>
          <w:kern w:val="0"/>
          <w:szCs w:val="24"/>
        </w:rPr>
        <w:t>按《江苏省职业院校技能大赛制度汇编》</w:t>
      </w:r>
      <w:r>
        <w:rPr>
          <w:rFonts w:hint="eastAsia" w:ascii="仿宋" w:hAnsi="仿宋" w:cs="Times New Roman"/>
          <w:color w:val="auto"/>
          <w:spacing w:val="-11"/>
          <w:kern w:val="0"/>
          <w:szCs w:val="24"/>
        </w:rPr>
        <w:t>有关规定，裁判严格根据评分标准进行竞赛执裁活动，具体评分方法见下表：</w:t>
      </w:r>
    </w:p>
    <w:p>
      <w:pPr>
        <w:autoSpaceDE w:val="0"/>
        <w:autoSpaceDN w:val="0"/>
        <w:spacing w:line="560" w:lineRule="exact"/>
        <w:ind w:firstLine="427" w:firstLineChars="196"/>
        <w:jc w:val="center"/>
        <w:rPr>
          <w:rFonts w:ascii="仿宋" w:hAnsi="仿宋" w:cs="Times New Roman"/>
          <w:color w:val="auto"/>
          <w:spacing w:val="-11"/>
          <w:kern w:val="0"/>
          <w:szCs w:val="24"/>
        </w:rPr>
      </w:pPr>
      <w:r>
        <w:rPr>
          <w:rFonts w:hint="eastAsia" w:ascii="仿宋" w:hAnsi="仿宋" w:cs="Times New Roman"/>
          <w:color w:val="auto"/>
          <w:spacing w:val="-11"/>
          <w:kern w:val="0"/>
          <w:szCs w:val="24"/>
        </w:rPr>
        <w:t xml:space="preserve">表10. </w:t>
      </w:r>
      <w:r>
        <w:rPr>
          <w:rFonts w:ascii="仿宋" w:hAnsi="仿宋" w:cs="Times New Roman"/>
          <w:color w:val="auto"/>
          <w:kern w:val="0"/>
          <w:szCs w:val="24"/>
          <w:lang w:eastAsia="en-US"/>
        </w:rPr>
        <w:t>裁判评分方法</w:t>
      </w:r>
      <w:r>
        <w:rPr>
          <w:rFonts w:hint="eastAsia" w:ascii="仿宋" w:hAnsi="仿宋" w:cs="Times New Roman"/>
          <w:color w:val="auto"/>
          <w:kern w:val="0"/>
          <w:szCs w:val="24"/>
        </w:rPr>
        <w:t>表</w:t>
      </w:r>
    </w:p>
    <w:tbl>
      <w:tblPr>
        <w:tblStyle w:val="10"/>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135"/>
        <w:gridCol w:w="1133"/>
        <w:gridCol w:w="1276"/>
        <w:gridCol w:w="3120"/>
        <w:gridCol w:w="11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6" w:type="pct"/>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序号</w:t>
            </w:r>
          </w:p>
        </w:tc>
        <w:tc>
          <w:tcPr>
            <w:tcW w:w="666" w:type="pct"/>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评分环节</w:t>
            </w:r>
          </w:p>
        </w:tc>
        <w:tc>
          <w:tcPr>
            <w:tcW w:w="665" w:type="pct"/>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评分性质</w:t>
            </w:r>
          </w:p>
        </w:tc>
        <w:tc>
          <w:tcPr>
            <w:tcW w:w="749" w:type="pct"/>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评分方向</w:t>
            </w:r>
          </w:p>
        </w:tc>
        <w:tc>
          <w:tcPr>
            <w:tcW w:w="1831" w:type="pct"/>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裁判评分方法</w:t>
            </w:r>
          </w:p>
        </w:tc>
        <w:tc>
          <w:tcPr>
            <w:tcW w:w="693" w:type="pct"/>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成绩汇总</w:t>
            </w:r>
          </w:p>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方式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1</w:t>
            </w:r>
          </w:p>
        </w:tc>
        <w:tc>
          <w:tcPr>
            <w:tcW w:w="666" w:type="pct"/>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理论评分</w:t>
            </w:r>
          </w:p>
        </w:tc>
        <w:tc>
          <w:tcPr>
            <w:tcW w:w="1414" w:type="pct"/>
            <w:gridSpan w:val="2"/>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结果评分</w:t>
            </w:r>
          </w:p>
        </w:tc>
        <w:tc>
          <w:tcPr>
            <w:tcW w:w="1831" w:type="pct"/>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计算机网络考核平台现场出成绩，取2人平均分</w:t>
            </w:r>
          </w:p>
        </w:tc>
        <w:tc>
          <w:tcPr>
            <w:tcW w:w="693" w:type="pct"/>
            <w:vAlign w:val="center"/>
          </w:tcPr>
          <w:p>
            <w:pPr>
              <w:autoSpaceDE w:val="0"/>
              <w:autoSpaceDN w:val="0"/>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×比例%，</w:t>
            </w:r>
          </w:p>
          <w:p>
            <w:pPr>
              <w:autoSpaceDE w:val="0"/>
              <w:autoSpaceDN w:val="0"/>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计入总分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96" w:type="pct"/>
            <w:vMerge w:val="restart"/>
            <w:vAlign w:val="center"/>
          </w:tcPr>
          <w:p>
            <w:pPr>
              <w:autoSpaceDE w:val="0"/>
              <w:autoSpaceDN w:val="0"/>
              <w:spacing w:line="240" w:lineRule="auto"/>
              <w:ind w:firstLine="0" w:firstLineChars="0"/>
              <w:jc w:val="center"/>
              <w:rPr>
                <w:rFonts w:ascii="仿宋" w:hAnsi="仿宋" w:cs="Times New Roman"/>
                <w:color w:val="auto"/>
                <w:kern w:val="0"/>
                <w:sz w:val="21"/>
                <w:szCs w:val="21"/>
              </w:rPr>
            </w:pPr>
            <w:r>
              <w:rPr>
                <w:rFonts w:hint="eastAsia" w:ascii="仿宋" w:hAnsi="仿宋" w:cs="Times New Roman"/>
                <w:color w:val="auto"/>
                <w:kern w:val="0"/>
                <w:sz w:val="21"/>
                <w:szCs w:val="21"/>
              </w:rPr>
              <w:t>2</w:t>
            </w:r>
          </w:p>
        </w:tc>
        <w:tc>
          <w:tcPr>
            <w:tcW w:w="666" w:type="pct"/>
            <w:vMerge w:val="restart"/>
            <w:vAlign w:val="center"/>
          </w:tcPr>
          <w:p>
            <w:pPr>
              <w:autoSpaceDE w:val="0"/>
              <w:autoSpaceDN w:val="0"/>
              <w:spacing w:line="240" w:lineRule="auto"/>
              <w:ind w:firstLine="0" w:firstLineChars="0"/>
              <w:jc w:val="center"/>
              <w:rPr>
                <w:rFonts w:ascii="仿宋" w:hAnsi="仿宋" w:cs="Times New Roman"/>
                <w:color w:val="auto"/>
                <w:kern w:val="0"/>
                <w:sz w:val="21"/>
                <w:szCs w:val="21"/>
              </w:rPr>
            </w:pPr>
            <w:r>
              <w:rPr>
                <w:rFonts w:hint="eastAsia" w:ascii="仿宋" w:hAnsi="仿宋" w:cs="Times New Roman"/>
                <w:color w:val="auto"/>
                <w:kern w:val="0"/>
                <w:sz w:val="21"/>
                <w:szCs w:val="21"/>
              </w:rPr>
              <w:t>施工图设计评分</w:t>
            </w:r>
          </w:p>
        </w:tc>
        <w:tc>
          <w:tcPr>
            <w:tcW w:w="665" w:type="pct"/>
            <w:vMerge w:val="restart"/>
            <w:vAlign w:val="center"/>
          </w:tcPr>
          <w:p>
            <w:pPr>
              <w:autoSpaceDE w:val="0"/>
              <w:autoSpaceDN w:val="0"/>
              <w:spacing w:line="240" w:lineRule="auto"/>
              <w:ind w:firstLine="0" w:firstLineChars="0"/>
              <w:jc w:val="left"/>
              <w:rPr>
                <w:rFonts w:ascii="仿宋" w:hAnsi="仿宋" w:cs="Times New Roman"/>
                <w:color w:val="auto"/>
                <w:kern w:val="0"/>
                <w:sz w:val="22"/>
              </w:rPr>
            </w:pPr>
            <w:r>
              <w:rPr>
                <w:rFonts w:hint="eastAsia" w:ascii="仿宋" w:hAnsi="仿宋" w:cs="Times New Roman"/>
                <w:color w:val="auto"/>
                <w:kern w:val="0"/>
                <w:sz w:val="22"/>
              </w:rPr>
              <w:t>结果评分</w:t>
            </w:r>
          </w:p>
        </w:tc>
        <w:tc>
          <w:tcPr>
            <w:tcW w:w="749" w:type="pct"/>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瓷砖墙面设计</w:t>
            </w:r>
          </w:p>
        </w:tc>
        <w:tc>
          <w:tcPr>
            <w:tcW w:w="1831" w:type="pct"/>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独立评分，2人/组/模块，2模块，组内取平均分，然后相加</w:t>
            </w:r>
          </w:p>
        </w:tc>
        <w:tc>
          <w:tcPr>
            <w:tcW w:w="693" w:type="pct"/>
            <w:vAlign w:val="center"/>
          </w:tcPr>
          <w:p>
            <w:pPr>
              <w:autoSpaceDE w:val="0"/>
              <w:autoSpaceDN w:val="0"/>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×比例%，</w:t>
            </w:r>
          </w:p>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仿宋"/>
                <w:color w:val="auto"/>
                <w:kern w:val="0"/>
                <w:sz w:val="22"/>
              </w:rPr>
              <w:t>计入总分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96" w:type="pct"/>
            <w:vMerge w:val="continue"/>
            <w:vAlign w:val="center"/>
          </w:tcPr>
          <w:p>
            <w:pPr>
              <w:autoSpaceDE w:val="0"/>
              <w:autoSpaceDN w:val="0"/>
              <w:spacing w:line="240" w:lineRule="auto"/>
              <w:ind w:firstLine="0" w:firstLineChars="0"/>
              <w:jc w:val="center"/>
              <w:rPr>
                <w:rFonts w:ascii="仿宋" w:hAnsi="仿宋" w:cs="Times New Roman"/>
                <w:color w:val="auto"/>
                <w:kern w:val="0"/>
                <w:sz w:val="21"/>
                <w:szCs w:val="21"/>
              </w:rPr>
            </w:pPr>
          </w:p>
        </w:tc>
        <w:tc>
          <w:tcPr>
            <w:tcW w:w="666" w:type="pct"/>
            <w:vMerge w:val="continue"/>
            <w:vAlign w:val="center"/>
          </w:tcPr>
          <w:p>
            <w:pPr>
              <w:autoSpaceDE w:val="0"/>
              <w:autoSpaceDN w:val="0"/>
              <w:spacing w:line="240" w:lineRule="auto"/>
              <w:ind w:firstLine="0" w:firstLineChars="0"/>
              <w:jc w:val="center"/>
              <w:rPr>
                <w:rFonts w:ascii="仿宋" w:hAnsi="仿宋" w:cs="Times New Roman"/>
                <w:color w:val="auto"/>
                <w:kern w:val="0"/>
                <w:sz w:val="21"/>
                <w:szCs w:val="21"/>
              </w:rPr>
            </w:pPr>
          </w:p>
        </w:tc>
        <w:tc>
          <w:tcPr>
            <w:tcW w:w="665" w:type="pct"/>
            <w:vMerge w:val="continue"/>
            <w:vAlign w:val="center"/>
          </w:tcPr>
          <w:p>
            <w:pPr>
              <w:autoSpaceDE w:val="0"/>
              <w:autoSpaceDN w:val="0"/>
              <w:spacing w:line="240" w:lineRule="auto"/>
              <w:ind w:firstLine="0" w:firstLineChars="0"/>
              <w:jc w:val="center"/>
              <w:rPr>
                <w:rFonts w:ascii="仿宋" w:hAnsi="仿宋" w:cs="Times New Roman"/>
                <w:color w:val="auto"/>
                <w:kern w:val="0"/>
                <w:sz w:val="22"/>
              </w:rPr>
            </w:pPr>
          </w:p>
        </w:tc>
        <w:tc>
          <w:tcPr>
            <w:tcW w:w="749" w:type="pct"/>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轻钢龙骨隔墙设计</w:t>
            </w:r>
          </w:p>
        </w:tc>
        <w:tc>
          <w:tcPr>
            <w:tcW w:w="1831" w:type="pct"/>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独立评分，2人/组/模块，2模块，组内取平均分，然后相加</w:t>
            </w:r>
          </w:p>
        </w:tc>
        <w:tc>
          <w:tcPr>
            <w:tcW w:w="693" w:type="pct"/>
            <w:vAlign w:val="center"/>
          </w:tcPr>
          <w:p>
            <w:pPr>
              <w:autoSpaceDE w:val="0"/>
              <w:autoSpaceDN w:val="0"/>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×比例%，</w:t>
            </w:r>
          </w:p>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仿宋"/>
                <w:color w:val="auto"/>
                <w:kern w:val="0"/>
                <w:sz w:val="22"/>
              </w:rPr>
              <w:t>计入总分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96" w:type="pct"/>
            <w:vAlign w:val="center"/>
          </w:tcPr>
          <w:p>
            <w:pPr>
              <w:autoSpaceDE w:val="0"/>
              <w:autoSpaceDN w:val="0"/>
              <w:spacing w:line="240" w:lineRule="auto"/>
              <w:ind w:firstLine="0" w:firstLineChars="0"/>
              <w:jc w:val="center"/>
              <w:rPr>
                <w:rFonts w:ascii="仿宋" w:hAnsi="仿宋" w:cs="Times New Roman"/>
                <w:color w:val="auto"/>
                <w:kern w:val="0"/>
                <w:sz w:val="21"/>
                <w:szCs w:val="21"/>
              </w:rPr>
            </w:pPr>
            <w:r>
              <w:rPr>
                <w:rFonts w:hint="eastAsia" w:ascii="仿宋" w:hAnsi="仿宋" w:cs="Times New Roman"/>
                <w:color w:val="auto"/>
                <w:kern w:val="0"/>
                <w:sz w:val="21"/>
                <w:szCs w:val="21"/>
              </w:rPr>
              <w:t>3</w:t>
            </w:r>
          </w:p>
        </w:tc>
        <w:tc>
          <w:tcPr>
            <w:tcW w:w="666" w:type="pct"/>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1"/>
                <w:szCs w:val="21"/>
              </w:rPr>
              <w:t>材料测算评分</w:t>
            </w:r>
          </w:p>
        </w:tc>
        <w:tc>
          <w:tcPr>
            <w:tcW w:w="1414" w:type="pct"/>
            <w:gridSpan w:val="2"/>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结果评分</w:t>
            </w:r>
          </w:p>
        </w:tc>
        <w:tc>
          <w:tcPr>
            <w:tcW w:w="1831" w:type="pct"/>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独立评分，2人/组/模块，2模块，组内取平均分，然后相加</w:t>
            </w:r>
          </w:p>
        </w:tc>
        <w:tc>
          <w:tcPr>
            <w:tcW w:w="693" w:type="pct"/>
            <w:vAlign w:val="center"/>
          </w:tcPr>
          <w:p>
            <w:pPr>
              <w:autoSpaceDE w:val="0"/>
              <w:autoSpaceDN w:val="0"/>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×比例%，</w:t>
            </w:r>
          </w:p>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仿宋"/>
                <w:color w:val="auto"/>
                <w:kern w:val="0"/>
                <w:sz w:val="22"/>
              </w:rPr>
              <w:t>计入总分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96" w:type="pct"/>
            <w:vMerge w:val="restart"/>
            <w:vAlign w:val="center"/>
          </w:tcPr>
          <w:p>
            <w:pPr>
              <w:autoSpaceDE w:val="0"/>
              <w:autoSpaceDN w:val="0"/>
              <w:spacing w:line="240" w:lineRule="auto"/>
              <w:ind w:firstLine="0" w:firstLineChars="0"/>
              <w:jc w:val="center"/>
              <w:rPr>
                <w:rFonts w:ascii="仿宋" w:hAnsi="仿宋" w:cs="Times New Roman"/>
                <w:color w:val="auto"/>
                <w:kern w:val="0"/>
                <w:sz w:val="21"/>
                <w:szCs w:val="21"/>
              </w:rPr>
            </w:pPr>
            <w:r>
              <w:rPr>
                <w:rFonts w:hint="eastAsia" w:ascii="仿宋" w:hAnsi="仿宋" w:cs="Times New Roman"/>
                <w:color w:val="auto"/>
                <w:kern w:val="0"/>
                <w:sz w:val="21"/>
                <w:szCs w:val="21"/>
              </w:rPr>
              <w:t>4</w:t>
            </w:r>
          </w:p>
        </w:tc>
        <w:tc>
          <w:tcPr>
            <w:tcW w:w="666" w:type="pct"/>
            <w:vMerge w:val="restart"/>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1"/>
                <w:szCs w:val="21"/>
              </w:rPr>
              <w:t>施工操作评分</w:t>
            </w:r>
          </w:p>
        </w:tc>
        <w:tc>
          <w:tcPr>
            <w:tcW w:w="665" w:type="pct"/>
            <w:vAlign w:val="center"/>
          </w:tcPr>
          <w:p>
            <w:pPr>
              <w:autoSpaceDE w:val="0"/>
              <w:autoSpaceDN w:val="0"/>
              <w:spacing w:line="240" w:lineRule="auto"/>
              <w:ind w:firstLine="0" w:firstLineChars="0"/>
              <w:jc w:val="left"/>
              <w:rPr>
                <w:rFonts w:ascii="仿宋" w:hAnsi="仿宋" w:cs="Times New Roman"/>
                <w:color w:val="auto"/>
                <w:kern w:val="0"/>
                <w:sz w:val="22"/>
              </w:rPr>
            </w:pPr>
            <w:r>
              <w:rPr>
                <w:rFonts w:hint="eastAsia" w:ascii="仿宋" w:hAnsi="仿宋" w:cs="Times New Roman"/>
                <w:color w:val="auto"/>
                <w:kern w:val="0"/>
                <w:sz w:val="22"/>
              </w:rPr>
              <w:t>过程评分</w:t>
            </w:r>
          </w:p>
        </w:tc>
        <w:tc>
          <w:tcPr>
            <w:tcW w:w="749" w:type="pct"/>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瓷砖与抹灰施工</w:t>
            </w:r>
          </w:p>
        </w:tc>
        <w:tc>
          <w:tcPr>
            <w:tcW w:w="1831" w:type="pct"/>
            <w:vAlign w:val="center"/>
          </w:tcPr>
          <w:p>
            <w:pPr>
              <w:autoSpaceDE w:val="0"/>
              <w:autoSpaceDN w:val="0"/>
              <w:spacing w:line="240" w:lineRule="auto"/>
              <w:ind w:firstLine="0" w:firstLineChars="0"/>
              <w:rPr>
                <w:rFonts w:ascii="仿宋" w:hAnsi="仿宋" w:cs="Times New Roman"/>
                <w:color w:val="auto"/>
                <w:kern w:val="0"/>
                <w:sz w:val="22"/>
              </w:rPr>
            </w:pPr>
            <w:r>
              <w:rPr>
                <w:rFonts w:hint="eastAsia" w:ascii="仿宋" w:hAnsi="仿宋" w:cs="Times New Roman"/>
                <w:color w:val="auto"/>
                <w:kern w:val="0"/>
                <w:sz w:val="22"/>
              </w:rPr>
              <w:t>分组评分，2人/组</w:t>
            </w:r>
          </w:p>
        </w:tc>
        <w:tc>
          <w:tcPr>
            <w:tcW w:w="693" w:type="pct"/>
            <w:vMerge w:val="restart"/>
            <w:vAlign w:val="center"/>
          </w:tcPr>
          <w:p>
            <w:pPr>
              <w:autoSpaceDE w:val="0"/>
              <w:autoSpaceDN w:val="0"/>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两者之和</w:t>
            </w:r>
          </w:p>
          <w:p>
            <w:pPr>
              <w:autoSpaceDE w:val="0"/>
              <w:autoSpaceDN w:val="0"/>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×10%，</w:t>
            </w:r>
          </w:p>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仿宋"/>
                <w:color w:val="auto"/>
                <w:kern w:val="0"/>
                <w:sz w:val="22"/>
              </w:rPr>
              <w:t>计入总分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96" w:type="pct"/>
            <w:vMerge w:val="continue"/>
            <w:vAlign w:val="center"/>
          </w:tcPr>
          <w:p>
            <w:pPr>
              <w:autoSpaceDE w:val="0"/>
              <w:autoSpaceDN w:val="0"/>
              <w:spacing w:line="240" w:lineRule="auto"/>
              <w:ind w:firstLine="0" w:firstLineChars="0"/>
              <w:jc w:val="center"/>
              <w:rPr>
                <w:rFonts w:ascii="仿宋" w:hAnsi="仿宋" w:cs="Times New Roman"/>
                <w:color w:val="auto"/>
                <w:kern w:val="0"/>
                <w:sz w:val="21"/>
                <w:szCs w:val="21"/>
              </w:rPr>
            </w:pPr>
          </w:p>
        </w:tc>
        <w:tc>
          <w:tcPr>
            <w:tcW w:w="666" w:type="pct"/>
            <w:vMerge w:val="continue"/>
            <w:vAlign w:val="center"/>
          </w:tcPr>
          <w:p>
            <w:pPr>
              <w:autoSpaceDE w:val="0"/>
              <w:autoSpaceDN w:val="0"/>
              <w:spacing w:line="240" w:lineRule="auto"/>
              <w:ind w:firstLine="0" w:firstLineChars="0"/>
              <w:jc w:val="center"/>
              <w:rPr>
                <w:rFonts w:ascii="仿宋" w:hAnsi="仿宋" w:cs="Times New Roman"/>
                <w:color w:val="auto"/>
                <w:kern w:val="0"/>
                <w:sz w:val="21"/>
                <w:szCs w:val="21"/>
              </w:rPr>
            </w:pPr>
          </w:p>
        </w:tc>
        <w:tc>
          <w:tcPr>
            <w:tcW w:w="665" w:type="pct"/>
            <w:vAlign w:val="center"/>
          </w:tcPr>
          <w:p>
            <w:pPr>
              <w:autoSpaceDE w:val="0"/>
              <w:autoSpaceDN w:val="0"/>
              <w:spacing w:line="240" w:lineRule="auto"/>
              <w:ind w:firstLine="0" w:firstLineChars="0"/>
              <w:jc w:val="left"/>
              <w:rPr>
                <w:rFonts w:ascii="仿宋" w:hAnsi="仿宋" w:cs="Times New Roman"/>
                <w:color w:val="auto"/>
                <w:kern w:val="0"/>
                <w:sz w:val="22"/>
              </w:rPr>
            </w:pPr>
            <w:r>
              <w:rPr>
                <w:rFonts w:hint="eastAsia" w:ascii="仿宋" w:hAnsi="仿宋" w:cs="Times New Roman"/>
                <w:color w:val="auto"/>
                <w:kern w:val="0"/>
                <w:sz w:val="22"/>
              </w:rPr>
              <w:t>结果评分</w:t>
            </w:r>
          </w:p>
        </w:tc>
        <w:tc>
          <w:tcPr>
            <w:tcW w:w="749" w:type="pct"/>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墙面瓷砖施工</w:t>
            </w:r>
          </w:p>
        </w:tc>
        <w:tc>
          <w:tcPr>
            <w:tcW w:w="1831" w:type="pct"/>
            <w:vAlign w:val="center"/>
          </w:tcPr>
          <w:p>
            <w:pPr>
              <w:autoSpaceDE w:val="0"/>
              <w:autoSpaceDN w:val="0"/>
              <w:spacing w:line="240" w:lineRule="auto"/>
              <w:ind w:firstLine="0" w:firstLineChars="0"/>
              <w:jc w:val="left"/>
              <w:rPr>
                <w:rFonts w:ascii="仿宋" w:hAnsi="仿宋" w:cs="Times New Roman"/>
                <w:color w:val="auto"/>
                <w:kern w:val="0"/>
                <w:sz w:val="22"/>
              </w:rPr>
            </w:pPr>
            <w:r>
              <w:rPr>
                <w:rFonts w:hint="eastAsia" w:ascii="仿宋" w:hAnsi="仿宋" w:cs="Times New Roman"/>
                <w:color w:val="auto"/>
                <w:kern w:val="0"/>
                <w:sz w:val="22"/>
              </w:rPr>
              <w:t>独立评分，2人/组/模块，2模块，组内取平均分，2组相加</w:t>
            </w:r>
          </w:p>
        </w:tc>
        <w:tc>
          <w:tcPr>
            <w:tcW w:w="693" w:type="pct"/>
            <w:vMerge w:val="continue"/>
            <w:vAlign w:val="center"/>
          </w:tcPr>
          <w:p>
            <w:pPr>
              <w:autoSpaceDE w:val="0"/>
              <w:autoSpaceDN w:val="0"/>
              <w:spacing w:line="240" w:lineRule="auto"/>
              <w:ind w:firstLine="0" w:firstLineChars="0"/>
              <w:jc w:val="center"/>
              <w:rPr>
                <w:rFonts w:ascii="仿宋" w:hAnsi="仿宋" w:cs="Times New Roman"/>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96" w:type="pct"/>
            <w:vMerge w:val="continue"/>
            <w:vAlign w:val="center"/>
          </w:tcPr>
          <w:p>
            <w:pPr>
              <w:autoSpaceDE w:val="0"/>
              <w:autoSpaceDN w:val="0"/>
              <w:spacing w:line="240" w:lineRule="auto"/>
              <w:ind w:firstLine="0" w:firstLineChars="0"/>
              <w:jc w:val="center"/>
              <w:rPr>
                <w:rFonts w:ascii="仿宋" w:hAnsi="仿宋" w:cs="Times New Roman"/>
                <w:color w:val="auto"/>
                <w:kern w:val="0"/>
                <w:sz w:val="21"/>
                <w:szCs w:val="21"/>
              </w:rPr>
            </w:pPr>
          </w:p>
        </w:tc>
        <w:tc>
          <w:tcPr>
            <w:tcW w:w="666" w:type="pct"/>
            <w:vMerge w:val="continue"/>
            <w:vAlign w:val="center"/>
          </w:tcPr>
          <w:p>
            <w:pPr>
              <w:autoSpaceDE w:val="0"/>
              <w:autoSpaceDN w:val="0"/>
              <w:spacing w:line="240" w:lineRule="auto"/>
              <w:ind w:firstLine="0" w:firstLineChars="0"/>
              <w:jc w:val="center"/>
              <w:rPr>
                <w:rFonts w:ascii="仿宋" w:hAnsi="仿宋" w:cs="Times New Roman"/>
                <w:color w:val="auto"/>
                <w:kern w:val="0"/>
                <w:sz w:val="21"/>
                <w:szCs w:val="21"/>
              </w:rPr>
            </w:pPr>
          </w:p>
        </w:tc>
        <w:tc>
          <w:tcPr>
            <w:tcW w:w="665" w:type="pct"/>
            <w:vAlign w:val="center"/>
          </w:tcPr>
          <w:p>
            <w:pPr>
              <w:autoSpaceDE w:val="0"/>
              <w:autoSpaceDN w:val="0"/>
              <w:spacing w:line="240" w:lineRule="auto"/>
              <w:ind w:firstLine="0" w:firstLineChars="0"/>
              <w:jc w:val="left"/>
              <w:rPr>
                <w:rFonts w:ascii="仿宋" w:hAnsi="仿宋" w:cs="Times New Roman"/>
                <w:color w:val="auto"/>
                <w:kern w:val="0"/>
                <w:sz w:val="22"/>
              </w:rPr>
            </w:pPr>
            <w:r>
              <w:rPr>
                <w:rFonts w:hint="eastAsia" w:ascii="仿宋" w:hAnsi="仿宋" w:cs="Times New Roman"/>
                <w:color w:val="auto"/>
                <w:kern w:val="0"/>
                <w:sz w:val="22"/>
              </w:rPr>
              <w:t>过程评分</w:t>
            </w:r>
          </w:p>
        </w:tc>
        <w:tc>
          <w:tcPr>
            <w:tcW w:w="749" w:type="pct"/>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轻钢龙骨隔墙施工</w:t>
            </w:r>
          </w:p>
        </w:tc>
        <w:tc>
          <w:tcPr>
            <w:tcW w:w="1831" w:type="pct"/>
            <w:vAlign w:val="center"/>
          </w:tcPr>
          <w:p>
            <w:pPr>
              <w:autoSpaceDE w:val="0"/>
              <w:autoSpaceDN w:val="0"/>
              <w:spacing w:line="240" w:lineRule="auto"/>
              <w:ind w:firstLine="0" w:firstLineChars="0"/>
              <w:jc w:val="left"/>
              <w:rPr>
                <w:rFonts w:ascii="仿宋" w:hAnsi="仿宋" w:cs="Times New Roman"/>
                <w:color w:val="auto"/>
                <w:kern w:val="0"/>
                <w:sz w:val="22"/>
              </w:rPr>
            </w:pPr>
            <w:r>
              <w:rPr>
                <w:rFonts w:hint="eastAsia" w:ascii="仿宋" w:hAnsi="仿宋" w:cs="Times New Roman"/>
                <w:color w:val="auto"/>
                <w:kern w:val="0"/>
                <w:sz w:val="22"/>
              </w:rPr>
              <w:t>分组评分，2人/组</w:t>
            </w:r>
          </w:p>
        </w:tc>
        <w:tc>
          <w:tcPr>
            <w:tcW w:w="693" w:type="pct"/>
            <w:vMerge w:val="restart"/>
            <w:vAlign w:val="center"/>
          </w:tcPr>
          <w:p>
            <w:pPr>
              <w:autoSpaceDE w:val="0"/>
              <w:autoSpaceDN w:val="0"/>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两者之和</w:t>
            </w:r>
          </w:p>
          <w:p>
            <w:pPr>
              <w:autoSpaceDE w:val="0"/>
              <w:autoSpaceDN w:val="0"/>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×10%，</w:t>
            </w:r>
          </w:p>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仿宋"/>
                <w:color w:val="auto"/>
                <w:kern w:val="0"/>
                <w:sz w:val="22"/>
              </w:rPr>
              <w:t>计入总分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96" w:type="pct"/>
            <w:vMerge w:val="continue"/>
            <w:vAlign w:val="center"/>
          </w:tcPr>
          <w:p>
            <w:pPr>
              <w:autoSpaceDE w:val="0"/>
              <w:autoSpaceDN w:val="0"/>
              <w:spacing w:line="240" w:lineRule="auto"/>
              <w:ind w:firstLine="0" w:firstLineChars="0"/>
              <w:jc w:val="center"/>
              <w:rPr>
                <w:rFonts w:ascii="仿宋" w:hAnsi="仿宋" w:cs="Times New Roman"/>
                <w:color w:val="auto"/>
                <w:kern w:val="0"/>
                <w:sz w:val="21"/>
                <w:szCs w:val="21"/>
              </w:rPr>
            </w:pPr>
          </w:p>
        </w:tc>
        <w:tc>
          <w:tcPr>
            <w:tcW w:w="666" w:type="pct"/>
            <w:vMerge w:val="continue"/>
            <w:vAlign w:val="center"/>
          </w:tcPr>
          <w:p>
            <w:pPr>
              <w:autoSpaceDE w:val="0"/>
              <w:autoSpaceDN w:val="0"/>
              <w:spacing w:line="240" w:lineRule="auto"/>
              <w:ind w:firstLine="0" w:firstLineChars="0"/>
              <w:jc w:val="center"/>
              <w:rPr>
                <w:rFonts w:ascii="仿宋" w:hAnsi="仿宋" w:cs="Times New Roman"/>
                <w:color w:val="auto"/>
                <w:kern w:val="0"/>
                <w:sz w:val="21"/>
                <w:szCs w:val="21"/>
              </w:rPr>
            </w:pPr>
          </w:p>
        </w:tc>
        <w:tc>
          <w:tcPr>
            <w:tcW w:w="665" w:type="pct"/>
            <w:vAlign w:val="center"/>
          </w:tcPr>
          <w:p>
            <w:pPr>
              <w:autoSpaceDE w:val="0"/>
              <w:autoSpaceDN w:val="0"/>
              <w:spacing w:line="240" w:lineRule="auto"/>
              <w:ind w:firstLine="0" w:firstLineChars="0"/>
              <w:jc w:val="left"/>
              <w:rPr>
                <w:rFonts w:ascii="仿宋" w:hAnsi="仿宋" w:cs="Times New Roman"/>
                <w:color w:val="auto"/>
                <w:kern w:val="0"/>
                <w:sz w:val="22"/>
              </w:rPr>
            </w:pPr>
            <w:r>
              <w:rPr>
                <w:rFonts w:hint="eastAsia" w:ascii="仿宋" w:hAnsi="仿宋" w:cs="Times New Roman"/>
                <w:color w:val="auto"/>
                <w:kern w:val="0"/>
                <w:sz w:val="22"/>
              </w:rPr>
              <w:t>结果评分</w:t>
            </w:r>
          </w:p>
        </w:tc>
        <w:tc>
          <w:tcPr>
            <w:tcW w:w="749" w:type="pct"/>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轻钢龙骨隔墙施工</w:t>
            </w:r>
          </w:p>
        </w:tc>
        <w:tc>
          <w:tcPr>
            <w:tcW w:w="1831" w:type="pct"/>
            <w:vAlign w:val="center"/>
          </w:tcPr>
          <w:p>
            <w:pPr>
              <w:autoSpaceDE w:val="0"/>
              <w:autoSpaceDN w:val="0"/>
              <w:spacing w:line="240" w:lineRule="auto"/>
              <w:ind w:firstLine="0" w:firstLineChars="0"/>
              <w:jc w:val="left"/>
              <w:rPr>
                <w:rFonts w:ascii="仿宋" w:hAnsi="仿宋" w:cs="Times New Roman"/>
                <w:color w:val="auto"/>
                <w:kern w:val="0"/>
                <w:sz w:val="22"/>
              </w:rPr>
            </w:pPr>
            <w:r>
              <w:rPr>
                <w:rFonts w:hint="eastAsia" w:ascii="仿宋" w:hAnsi="仿宋" w:cs="Times New Roman"/>
                <w:color w:val="auto"/>
                <w:kern w:val="0"/>
                <w:sz w:val="22"/>
              </w:rPr>
              <w:t>独立评分，2人/组/模块，2模块，组内取平均分，2组相加</w:t>
            </w:r>
          </w:p>
        </w:tc>
        <w:tc>
          <w:tcPr>
            <w:tcW w:w="693" w:type="pct"/>
            <w:vMerge w:val="continue"/>
            <w:vAlign w:val="center"/>
          </w:tcPr>
          <w:p>
            <w:pPr>
              <w:autoSpaceDE w:val="0"/>
              <w:autoSpaceDN w:val="0"/>
              <w:spacing w:line="240" w:lineRule="auto"/>
              <w:ind w:firstLine="0" w:firstLineChars="0"/>
              <w:jc w:val="center"/>
              <w:rPr>
                <w:rFonts w:ascii="仿宋" w:hAnsi="仿宋" w:cs="Times New Roman"/>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396" w:type="pct"/>
            <w:vMerge w:val="continue"/>
            <w:vAlign w:val="center"/>
          </w:tcPr>
          <w:p>
            <w:pPr>
              <w:autoSpaceDE w:val="0"/>
              <w:autoSpaceDN w:val="0"/>
              <w:spacing w:line="240" w:lineRule="auto"/>
              <w:ind w:firstLine="0" w:firstLineChars="0"/>
              <w:jc w:val="center"/>
              <w:rPr>
                <w:rFonts w:ascii="仿宋" w:hAnsi="仿宋" w:cs="Times New Roman"/>
                <w:color w:val="auto"/>
                <w:kern w:val="0"/>
                <w:sz w:val="21"/>
                <w:szCs w:val="21"/>
              </w:rPr>
            </w:pPr>
          </w:p>
        </w:tc>
        <w:tc>
          <w:tcPr>
            <w:tcW w:w="666" w:type="pct"/>
            <w:vMerge w:val="continue"/>
            <w:vAlign w:val="center"/>
          </w:tcPr>
          <w:p>
            <w:pPr>
              <w:autoSpaceDE w:val="0"/>
              <w:autoSpaceDN w:val="0"/>
              <w:spacing w:line="240" w:lineRule="auto"/>
              <w:ind w:firstLine="0" w:firstLineChars="0"/>
              <w:jc w:val="center"/>
              <w:rPr>
                <w:rFonts w:ascii="仿宋" w:hAnsi="仿宋" w:cs="Times New Roman"/>
                <w:color w:val="auto"/>
                <w:kern w:val="0"/>
                <w:sz w:val="21"/>
                <w:szCs w:val="21"/>
              </w:rPr>
            </w:pPr>
          </w:p>
        </w:tc>
        <w:tc>
          <w:tcPr>
            <w:tcW w:w="665" w:type="pct"/>
            <w:vAlign w:val="center"/>
          </w:tcPr>
          <w:p>
            <w:pPr>
              <w:autoSpaceDE w:val="0"/>
              <w:autoSpaceDN w:val="0"/>
              <w:spacing w:line="240" w:lineRule="auto"/>
              <w:ind w:firstLine="0" w:firstLineChars="0"/>
              <w:jc w:val="left"/>
              <w:rPr>
                <w:rFonts w:ascii="仿宋" w:hAnsi="仿宋" w:cs="Times New Roman"/>
                <w:color w:val="auto"/>
                <w:kern w:val="0"/>
                <w:sz w:val="22"/>
              </w:rPr>
            </w:pPr>
            <w:r>
              <w:rPr>
                <w:rFonts w:hint="eastAsia" w:ascii="仿宋" w:hAnsi="仿宋" w:cs="Times New Roman"/>
                <w:color w:val="auto"/>
                <w:kern w:val="0"/>
                <w:sz w:val="22"/>
              </w:rPr>
              <w:t>结果评分</w:t>
            </w:r>
          </w:p>
        </w:tc>
        <w:tc>
          <w:tcPr>
            <w:tcW w:w="749" w:type="pct"/>
            <w:vAlign w:val="center"/>
          </w:tcPr>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Times New Roman"/>
                <w:color w:val="auto"/>
                <w:kern w:val="0"/>
                <w:sz w:val="22"/>
              </w:rPr>
              <w:t>抹灰施工</w:t>
            </w:r>
          </w:p>
        </w:tc>
        <w:tc>
          <w:tcPr>
            <w:tcW w:w="1831" w:type="pct"/>
            <w:vAlign w:val="center"/>
          </w:tcPr>
          <w:p>
            <w:pPr>
              <w:autoSpaceDE w:val="0"/>
              <w:autoSpaceDN w:val="0"/>
              <w:spacing w:line="240" w:lineRule="auto"/>
              <w:ind w:firstLine="0" w:firstLineChars="0"/>
              <w:jc w:val="left"/>
              <w:rPr>
                <w:rFonts w:ascii="仿宋" w:hAnsi="仿宋" w:cs="Times New Roman"/>
                <w:color w:val="auto"/>
                <w:kern w:val="0"/>
                <w:sz w:val="22"/>
              </w:rPr>
            </w:pPr>
            <w:r>
              <w:rPr>
                <w:rFonts w:hint="eastAsia" w:ascii="仿宋" w:hAnsi="仿宋" w:cs="Times New Roman"/>
                <w:color w:val="auto"/>
                <w:kern w:val="0"/>
                <w:sz w:val="22"/>
              </w:rPr>
              <w:t>独立评分，2人/组，组内取平均分</w:t>
            </w:r>
          </w:p>
        </w:tc>
        <w:tc>
          <w:tcPr>
            <w:tcW w:w="693" w:type="pct"/>
            <w:vAlign w:val="center"/>
          </w:tcPr>
          <w:p>
            <w:pPr>
              <w:autoSpaceDE w:val="0"/>
              <w:autoSpaceDN w:val="0"/>
              <w:spacing w:line="240" w:lineRule="auto"/>
              <w:ind w:firstLine="0" w:firstLineChars="0"/>
              <w:jc w:val="center"/>
              <w:rPr>
                <w:rFonts w:ascii="仿宋" w:hAnsi="仿宋" w:cs="仿宋"/>
                <w:color w:val="auto"/>
                <w:kern w:val="0"/>
                <w:sz w:val="22"/>
              </w:rPr>
            </w:pPr>
            <w:r>
              <w:rPr>
                <w:rFonts w:hint="eastAsia" w:ascii="仿宋" w:hAnsi="仿宋" w:cs="仿宋"/>
                <w:color w:val="auto"/>
                <w:kern w:val="0"/>
                <w:sz w:val="22"/>
              </w:rPr>
              <w:t>×比例%，</w:t>
            </w:r>
          </w:p>
          <w:p>
            <w:pPr>
              <w:autoSpaceDE w:val="0"/>
              <w:autoSpaceDN w:val="0"/>
              <w:spacing w:line="240" w:lineRule="auto"/>
              <w:ind w:firstLine="0" w:firstLineChars="0"/>
              <w:jc w:val="center"/>
              <w:rPr>
                <w:rFonts w:ascii="仿宋" w:hAnsi="仿宋" w:cs="Times New Roman"/>
                <w:color w:val="auto"/>
                <w:kern w:val="0"/>
                <w:sz w:val="22"/>
              </w:rPr>
            </w:pPr>
            <w:r>
              <w:rPr>
                <w:rFonts w:hint="eastAsia" w:ascii="仿宋" w:hAnsi="仿宋" w:cs="仿宋"/>
                <w:color w:val="auto"/>
                <w:kern w:val="0"/>
                <w:sz w:val="22"/>
              </w:rPr>
              <w:t>计入总分</w:t>
            </w:r>
          </w:p>
        </w:tc>
      </w:tr>
    </w:tbl>
    <w:p>
      <w:pPr>
        <w:autoSpaceDE w:val="0"/>
        <w:autoSpaceDN w:val="0"/>
        <w:ind w:left="305" w:leftChars="127" w:firstLine="240" w:firstLineChars="100"/>
        <w:rPr>
          <w:rFonts w:ascii="仿宋" w:hAnsi="仿宋" w:cs="Times New Roman"/>
          <w:color w:val="auto"/>
          <w:kern w:val="0"/>
          <w:szCs w:val="24"/>
        </w:rPr>
      </w:pPr>
    </w:p>
    <w:p>
      <w:pPr>
        <w:autoSpaceDE w:val="0"/>
        <w:autoSpaceDN w:val="0"/>
        <w:ind w:left="305" w:leftChars="127" w:firstLine="240" w:firstLineChars="100"/>
        <w:rPr>
          <w:rFonts w:ascii="仿宋" w:hAnsi="仿宋" w:cs="Times New Roman"/>
          <w:color w:val="auto"/>
          <w:kern w:val="0"/>
          <w:szCs w:val="24"/>
        </w:rPr>
      </w:pPr>
      <w:r>
        <w:rPr>
          <w:rFonts w:ascii="仿宋" w:hAnsi="仿宋" w:cs="Times New Roman"/>
          <w:color w:val="auto"/>
          <w:kern w:val="0"/>
          <w:szCs w:val="24"/>
        </w:rPr>
        <w:t>3.成绩产生方法</w:t>
      </w:r>
    </w:p>
    <w:p>
      <w:pPr>
        <w:autoSpaceDE w:val="0"/>
        <w:autoSpaceDN w:val="0"/>
        <w:ind w:firstLine="436"/>
        <w:rPr>
          <w:rFonts w:ascii="仿宋" w:hAnsi="仿宋" w:cs="Times New Roman"/>
          <w:color w:val="auto"/>
          <w:spacing w:val="-3"/>
          <w:kern w:val="0"/>
          <w:szCs w:val="24"/>
        </w:rPr>
      </w:pPr>
      <w:r>
        <w:rPr>
          <w:rFonts w:ascii="仿宋" w:hAnsi="仿宋" w:cs="Times New Roman"/>
          <w:color w:val="auto"/>
          <w:spacing w:val="-11"/>
          <w:kern w:val="0"/>
          <w:szCs w:val="24"/>
        </w:rPr>
        <w:t>按《江苏省职业院校技能大赛制度汇编》</w:t>
      </w:r>
      <w:r>
        <w:rPr>
          <w:rFonts w:hint="eastAsia" w:ascii="仿宋" w:hAnsi="仿宋" w:cs="Times New Roman"/>
          <w:color w:val="auto"/>
          <w:spacing w:val="-11"/>
          <w:kern w:val="0"/>
          <w:szCs w:val="24"/>
        </w:rPr>
        <w:t>有关规定，裁判严格根据评分标准得出选手竞赛成绩，</w:t>
      </w:r>
      <w:r>
        <w:rPr>
          <w:rFonts w:ascii="仿宋" w:hAnsi="仿宋" w:cs="Times New Roman"/>
          <w:color w:val="auto"/>
          <w:spacing w:val="-12"/>
          <w:kern w:val="0"/>
          <w:szCs w:val="24"/>
        </w:rPr>
        <w:t>为保证公开、公平、公正、透明地进行成绩评定，</w:t>
      </w:r>
      <w:r>
        <w:rPr>
          <w:rFonts w:hint="eastAsia" w:ascii="仿宋" w:hAnsi="仿宋" w:cs="Times New Roman"/>
          <w:color w:val="auto"/>
          <w:spacing w:val="-12"/>
          <w:kern w:val="0"/>
          <w:szCs w:val="24"/>
        </w:rPr>
        <w:t>每个模块均确保至少有2名</w:t>
      </w:r>
      <w:r>
        <w:rPr>
          <w:rFonts w:ascii="仿宋" w:hAnsi="仿宋" w:cs="Times New Roman"/>
          <w:color w:val="auto"/>
          <w:spacing w:val="-12"/>
          <w:kern w:val="0"/>
          <w:szCs w:val="24"/>
        </w:rPr>
        <w:t>裁判员</w:t>
      </w:r>
      <w:r>
        <w:rPr>
          <w:rFonts w:hint="eastAsia" w:ascii="仿宋" w:hAnsi="仿宋" w:cs="Times New Roman"/>
          <w:color w:val="auto"/>
          <w:spacing w:val="-12"/>
          <w:kern w:val="0"/>
          <w:szCs w:val="24"/>
        </w:rPr>
        <w:t>进行独立</w:t>
      </w:r>
      <w:r>
        <w:rPr>
          <w:rFonts w:ascii="仿宋" w:hAnsi="仿宋" w:cs="Times New Roman"/>
          <w:color w:val="auto"/>
          <w:spacing w:val="-12"/>
          <w:kern w:val="0"/>
          <w:szCs w:val="24"/>
        </w:rPr>
        <w:t>评</w:t>
      </w:r>
      <w:r>
        <w:rPr>
          <w:rFonts w:ascii="仿宋" w:hAnsi="仿宋" w:cs="Times New Roman"/>
          <w:color w:val="auto"/>
          <w:spacing w:val="-3"/>
          <w:kern w:val="0"/>
          <w:szCs w:val="24"/>
        </w:rPr>
        <w:t>分</w:t>
      </w:r>
      <w:r>
        <w:rPr>
          <w:rFonts w:hint="eastAsia" w:ascii="仿宋" w:hAnsi="仿宋" w:cs="Times New Roman"/>
          <w:color w:val="auto"/>
          <w:spacing w:val="-3"/>
          <w:kern w:val="0"/>
          <w:szCs w:val="24"/>
        </w:rPr>
        <w:t>，</w:t>
      </w:r>
      <w:r>
        <w:rPr>
          <w:rFonts w:ascii="仿宋" w:hAnsi="仿宋" w:cs="Times New Roman"/>
          <w:color w:val="auto"/>
          <w:spacing w:val="-3"/>
          <w:kern w:val="0"/>
          <w:szCs w:val="24"/>
        </w:rPr>
        <w:t>取平均分作为选手技能得分</w:t>
      </w:r>
      <w:r>
        <w:rPr>
          <w:rFonts w:hint="eastAsia" w:ascii="仿宋" w:hAnsi="仿宋" w:cs="Times New Roman"/>
          <w:color w:val="auto"/>
          <w:spacing w:val="-3"/>
          <w:kern w:val="0"/>
          <w:szCs w:val="24"/>
        </w:rPr>
        <w:t>。成绩组成见下表：</w:t>
      </w:r>
    </w:p>
    <w:p>
      <w:pPr>
        <w:pStyle w:val="16"/>
        <w:spacing w:line="360" w:lineRule="auto"/>
        <w:jc w:val="center"/>
        <w:rPr>
          <w:rFonts w:ascii="仿宋_GB2312" w:hAnsi="仿宋_GB2312" w:eastAsia="仿宋_GB2312" w:cs="仿宋_GB2312"/>
          <w:color w:val="auto"/>
        </w:rPr>
      </w:pPr>
      <w:r>
        <w:rPr>
          <w:rFonts w:hint="eastAsia" w:ascii="仿宋" w:hAnsi="仿宋" w:eastAsia="仿宋" w:cs="Times New Roman"/>
          <w:color w:val="auto"/>
          <w:spacing w:val="-3"/>
        </w:rPr>
        <w:t>表11. 学生组成绩组成表</w:t>
      </w:r>
    </w:p>
    <w:tbl>
      <w:tblPr>
        <w:tblStyle w:val="1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1363"/>
        <w:gridCol w:w="2132"/>
        <w:gridCol w:w="1013"/>
        <w:gridCol w:w="975"/>
        <w:gridCol w:w="750"/>
        <w:gridCol w:w="10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42" w:type="dxa"/>
            <w:gridSpan w:val="3"/>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竞赛环节</w:t>
            </w:r>
          </w:p>
        </w:tc>
        <w:tc>
          <w:tcPr>
            <w:tcW w:w="1013"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标准分</w:t>
            </w:r>
          </w:p>
        </w:tc>
        <w:tc>
          <w:tcPr>
            <w:tcW w:w="1725" w:type="dxa"/>
            <w:gridSpan w:val="2"/>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占总比</w:t>
            </w:r>
          </w:p>
        </w:tc>
        <w:tc>
          <w:tcPr>
            <w:tcW w:w="1042"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742" w:type="dxa"/>
            <w:gridSpan w:val="3"/>
            <w:vAlign w:val="center"/>
          </w:tcPr>
          <w:p>
            <w:pPr>
              <w:spacing w:line="240" w:lineRule="auto"/>
              <w:ind w:firstLine="0" w:firstLineChars="0"/>
              <w:jc w:val="left"/>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一、理论考核</w:t>
            </w:r>
          </w:p>
        </w:tc>
        <w:tc>
          <w:tcPr>
            <w:tcW w:w="1013"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100</w:t>
            </w:r>
          </w:p>
        </w:tc>
        <w:tc>
          <w:tcPr>
            <w:tcW w:w="975"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10%</w:t>
            </w:r>
          </w:p>
        </w:tc>
        <w:tc>
          <w:tcPr>
            <w:tcW w:w="750"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10%</w:t>
            </w:r>
          </w:p>
        </w:tc>
        <w:tc>
          <w:tcPr>
            <w:tcW w:w="1042" w:type="dxa"/>
            <w:vMerge w:val="restart"/>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在理论考核和施工操作过程考核中含5%的职业素养得分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247" w:type="dxa"/>
            <w:vMerge w:val="restart"/>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二、技能考核</w:t>
            </w:r>
          </w:p>
        </w:tc>
        <w:tc>
          <w:tcPr>
            <w:tcW w:w="1363" w:type="dxa"/>
            <w:vMerge w:val="restart"/>
            <w:vAlign w:val="center"/>
          </w:tcPr>
          <w:p>
            <w:pPr>
              <w:spacing w:line="240" w:lineRule="auto"/>
              <w:ind w:firstLine="0" w:firstLineChars="0"/>
              <w:jc w:val="left"/>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1.方案施工图设计</w:t>
            </w:r>
          </w:p>
        </w:tc>
        <w:tc>
          <w:tcPr>
            <w:tcW w:w="2132" w:type="dxa"/>
            <w:vAlign w:val="center"/>
          </w:tcPr>
          <w:p>
            <w:pPr>
              <w:spacing w:line="240" w:lineRule="auto"/>
              <w:ind w:firstLine="0" w:firstLineChars="0"/>
              <w:jc w:val="left"/>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（1）瓷砖镶贴设计</w:t>
            </w:r>
          </w:p>
        </w:tc>
        <w:tc>
          <w:tcPr>
            <w:tcW w:w="1013"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100</w:t>
            </w:r>
          </w:p>
        </w:tc>
        <w:tc>
          <w:tcPr>
            <w:tcW w:w="975"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15%</w:t>
            </w:r>
          </w:p>
        </w:tc>
        <w:tc>
          <w:tcPr>
            <w:tcW w:w="750" w:type="dxa"/>
            <w:vMerge w:val="restart"/>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90%</w:t>
            </w:r>
          </w:p>
        </w:tc>
        <w:tc>
          <w:tcPr>
            <w:tcW w:w="1042" w:type="dxa"/>
            <w:vMerge w:val="continue"/>
            <w:vAlign w:val="center"/>
          </w:tcPr>
          <w:p>
            <w:pPr>
              <w:spacing w:line="240" w:lineRule="auto"/>
              <w:ind w:firstLine="0" w:firstLineChars="0"/>
              <w:jc w:val="center"/>
              <w:rPr>
                <w:rFonts w:ascii="仿宋_GB2312" w:hAnsi="仿宋_GB2312" w:eastAsia="仿宋_GB2312" w:cs="仿宋_GB2312"/>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47" w:type="dxa"/>
            <w:vMerge w:val="continue"/>
            <w:vAlign w:val="center"/>
          </w:tcPr>
          <w:p>
            <w:pPr>
              <w:spacing w:line="240" w:lineRule="auto"/>
              <w:ind w:firstLine="0" w:firstLineChars="0"/>
              <w:jc w:val="center"/>
              <w:rPr>
                <w:rFonts w:ascii="仿宋_GB2312" w:hAnsi="仿宋_GB2312" w:eastAsia="仿宋_GB2312" w:cs="仿宋_GB2312"/>
                <w:color w:val="auto"/>
                <w:kern w:val="0"/>
                <w:sz w:val="22"/>
              </w:rPr>
            </w:pPr>
          </w:p>
        </w:tc>
        <w:tc>
          <w:tcPr>
            <w:tcW w:w="1363" w:type="dxa"/>
            <w:vMerge w:val="continue"/>
            <w:vAlign w:val="center"/>
          </w:tcPr>
          <w:p>
            <w:pPr>
              <w:spacing w:line="240" w:lineRule="auto"/>
              <w:ind w:firstLine="0" w:firstLineChars="0"/>
              <w:jc w:val="left"/>
              <w:rPr>
                <w:rFonts w:ascii="仿宋_GB2312" w:hAnsi="仿宋_GB2312" w:eastAsia="仿宋_GB2312" w:cs="仿宋_GB2312"/>
                <w:color w:val="auto"/>
                <w:kern w:val="0"/>
                <w:sz w:val="22"/>
              </w:rPr>
            </w:pPr>
          </w:p>
        </w:tc>
        <w:tc>
          <w:tcPr>
            <w:tcW w:w="2132" w:type="dxa"/>
            <w:vAlign w:val="center"/>
          </w:tcPr>
          <w:p>
            <w:pPr>
              <w:spacing w:line="240" w:lineRule="auto"/>
              <w:ind w:firstLine="0" w:firstLineChars="0"/>
              <w:jc w:val="left"/>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（2）龙骨隔墙设计</w:t>
            </w:r>
          </w:p>
        </w:tc>
        <w:tc>
          <w:tcPr>
            <w:tcW w:w="1013"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100</w:t>
            </w:r>
          </w:p>
        </w:tc>
        <w:tc>
          <w:tcPr>
            <w:tcW w:w="975"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15%</w:t>
            </w:r>
          </w:p>
        </w:tc>
        <w:tc>
          <w:tcPr>
            <w:tcW w:w="750" w:type="dxa"/>
            <w:vMerge w:val="continue"/>
            <w:vAlign w:val="center"/>
          </w:tcPr>
          <w:p>
            <w:pPr>
              <w:spacing w:line="240" w:lineRule="auto"/>
              <w:ind w:firstLine="440"/>
              <w:jc w:val="center"/>
              <w:rPr>
                <w:rFonts w:ascii="仿宋_GB2312" w:hAnsi="仿宋_GB2312" w:eastAsia="仿宋_GB2312" w:cs="仿宋_GB2312"/>
                <w:color w:val="auto"/>
                <w:kern w:val="0"/>
                <w:sz w:val="22"/>
              </w:rPr>
            </w:pPr>
          </w:p>
        </w:tc>
        <w:tc>
          <w:tcPr>
            <w:tcW w:w="1042" w:type="dxa"/>
            <w:vMerge w:val="continue"/>
            <w:vAlign w:val="center"/>
          </w:tcPr>
          <w:p>
            <w:pPr>
              <w:spacing w:line="240" w:lineRule="auto"/>
              <w:ind w:firstLine="440"/>
              <w:jc w:val="center"/>
              <w:rPr>
                <w:rFonts w:ascii="仿宋_GB2312" w:hAnsi="仿宋_GB2312" w:eastAsia="仿宋_GB2312" w:cs="仿宋_GB2312"/>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247" w:type="dxa"/>
            <w:vMerge w:val="continue"/>
            <w:vAlign w:val="center"/>
          </w:tcPr>
          <w:p>
            <w:pPr>
              <w:spacing w:line="240" w:lineRule="auto"/>
              <w:ind w:firstLine="440"/>
              <w:jc w:val="center"/>
              <w:rPr>
                <w:rFonts w:ascii="仿宋_GB2312" w:hAnsi="仿宋_GB2312" w:eastAsia="仿宋_GB2312" w:cs="仿宋_GB2312"/>
                <w:color w:val="auto"/>
                <w:kern w:val="0"/>
                <w:sz w:val="22"/>
              </w:rPr>
            </w:pPr>
          </w:p>
        </w:tc>
        <w:tc>
          <w:tcPr>
            <w:tcW w:w="3495" w:type="dxa"/>
            <w:gridSpan w:val="2"/>
            <w:vAlign w:val="center"/>
          </w:tcPr>
          <w:p>
            <w:pPr>
              <w:spacing w:line="240" w:lineRule="auto"/>
              <w:ind w:firstLine="0" w:firstLineChars="0"/>
              <w:jc w:val="left"/>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2.材料测算</w:t>
            </w:r>
          </w:p>
        </w:tc>
        <w:tc>
          <w:tcPr>
            <w:tcW w:w="1013"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100</w:t>
            </w:r>
          </w:p>
        </w:tc>
        <w:tc>
          <w:tcPr>
            <w:tcW w:w="975"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10%</w:t>
            </w:r>
          </w:p>
        </w:tc>
        <w:tc>
          <w:tcPr>
            <w:tcW w:w="750" w:type="dxa"/>
            <w:vMerge w:val="continue"/>
            <w:vAlign w:val="center"/>
          </w:tcPr>
          <w:p>
            <w:pPr>
              <w:spacing w:line="240" w:lineRule="auto"/>
              <w:ind w:firstLine="440"/>
              <w:jc w:val="center"/>
              <w:rPr>
                <w:rFonts w:ascii="仿宋_GB2312" w:hAnsi="仿宋_GB2312" w:eastAsia="仿宋_GB2312" w:cs="仿宋_GB2312"/>
                <w:color w:val="auto"/>
                <w:kern w:val="0"/>
                <w:sz w:val="22"/>
              </w:rPr>
            </w:pPr>
          </w:p>
        </w:tc>
        <w:tc>
          <w:tcPr>
            <w:tcW w:w="1042" w:type="dxa"/>
            <w:vMerge w:val="continue"/>
            <w:vAlign w:val="center"/>
          </w:tcPr>
          <w:p>
            <w:pPr>
              <w:spacing w:line="240" w:lineRule="auto"/>
              <w:ind w:firstLine="440"/>
              <w:jc w:val="center"/>
              <w:rPr>
                <w:rFonts w:ascii="仿宋_GB2312" w:hAnsi="仿宋_GB2312" w:eastAsia="仿宋_GB2312" w:cs="仿宋_GB2312"/>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247" w:type="dxa"/>
            <w:vMerge w:val="continue"/>
            <w:vAlign w:val="center"/>
          </w:tcPr>
          <w:p>
            <w:pPr>
              <w:spacing w:line="240" w:lineRule="auto"/>
              <w:ind w:firstLine="440"/>
              <w:jc w:val="center"/>
              <w:rPr>
                <w:rFonts w:ascii="仿宋_GB2312" w:hAnsi="仿宋_GB2312" w:eastAsia="仿宋_GB2312" w:cs="仿宋_GB2312"/>
                <w:color w:val="auto"/>
                <w:kern w:val="0"/>
                <w:sz w:val="22"/>
              </w:rPr>
            </w:pPr>
          </w:p>
        </w:tc>
        <w:tc>
          <w:tcPr>
            <w:tcW w:w="1363" w:type="dxa"/>
            <w:vMerge w:val="restart"/>
            <w:vAlign w:val="center"/>
          </w:tcPr>
          <w:p>
            <w:pPr>
              <w:spacing w:line="240" w:lineRule="auto"/>
              <w:ind w:firstLine="0" w:firstLineChars="0"/>
              <w:jc w:val="left"/>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3.施工操作</w:t>
            </w:r>
          </w:p>
        </w:tc>
        <w:tc>
          <w:tcPr>
            <w:tcW w:w="2132" w:type="dxa"/>
            <w:vAlign w:val="center"/>
          </w:tcPr>
          <w:p>
            <w:pPr>
              <w:spacing w:line="240" w:lineRule="auto"/>
              <w:ind w:firstLine="0" w:firstLineChars="0"/>
              <w:jc w:val="left"/>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（1）瓷砖镶贴</w:t>
            </w:r>
          </w:p>
          <w:p>
            <w:pPr>
              <w:spacing w:line="240" w:lineRule="auto"/>
              <w:ind w:firstLine="0" w:firstLineChars="0"/>
              <w:jc w:val="left"/>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（含过程得分）</w:t>
            </w:r>
          </w:p>
        </w:tc>
        <w:tc>
          <w:tcPr>
            <w:tcW w:w="1013"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100</w:t>
            </w:r>
          </w:p>
        </w:tc>
        <w:tc>
          <w:tcPr>
            <w:tcW w:w="975"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20%</w:t>
            </w:r>
          </w:p>
        </w:tc>
        <w:tc>
          <w:tcPr>
            <w:tcW w:w="750" w:type="dxa"/>
            <w:vMerge w:val="continue"/>
            <w:vAlign w:val="center"/>
          </w:tcPr>
          <w:p>
            <w:pPr>
              <w:spacing w:line="240" w:lineRule="auto"/>
              <w:ind w:firstLine="440"/>
              <w:jc w:val="center"/>
              <w:rPr>
                <w:rFonts w:ascii="仿宋_GB2312" w:hAnsi="仿宋_GB2312" w:eastAsia="仿宋_GB2312" w:cs="仿宋_GB2312"/>
                <w:color w:val="auto"/>
                <w:kern w:val="0"/>
                <w:sz w:val="22"/>
              </w:rPr>
            </w:pPr>
          </w:p>
        </w:tc>
        <w:tc>
          <w:tcPr>
            <w:tcW w:w="1042" w:type="dxa"/>
            <w:vMerge w:val="continue"/>
            <w:vAlign w:val="center"/>
          </w:tcPr>
          <w:p>
            <w:pPr>
              <w:spacing w:line="240" w:lineRule="auto"/>
              <w:ind w:firstLine="440"/>
              <w:jc w:val="center"/>
              <w:rPr>
                <w:rFonts w:ascii="仿宋_GB2312" w:hAnsi="仿宋_GB2312" w:eastAsia="仿宋_GB2312" w:cs="仿宋_GB2312"/>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247" w:type="dxa"/>
            <w:vMerge w:val="continue"/>
            <w:vAlign w:val="center"/>
          </w:tcPr>
          <w:p>
            <w:pPr>
              <w:spacing w:line="240" w:lineRule="auto"/>
              <w:ind w:firstLine="440"/>
              <w:jc w:val="center"/>
              <w:rPr>
                <w:rFonts w:ascii="仿宋_GB2312" w:hAnsi="仿宋_GB2312" w:eastAsia="仿宋_GB2312" w:cs="仿宋_GB2312"/>
                <w:color w:val="auto"/>
                <w:kern w:val="0"/>
                <w:sz w:val="22"/>
              </w:rPr>
            </w:pPr>
          </w:p>
        </w:tc>
        <w:tc>
          <w:tcPr>
            <w:tcW w:w="1363" w:type="dxa"/>
            <w:vMerge w:val="continue"/>
            <w:vAlign w:val="center"/>
          </w:tcPr>
          <w:p>
            <w:pPr>
              <w:spacing w:line="240" w:lineRule="auto"/>
              <w:ind w:firstLine="0" w:firstLineChars="0"/>
              <w:jc w:val="center"/>
              <w:rPr>
                <w:rFonts w:ascii="仿宋_GB2312" w:hAnsi="仿宋_GB2312" w:eastAsia="仿宋_GB2312" w:cs="仿宋_GB2312"/>
                <w:color w:val="auto"/>
                <w:kern w:val="0"/>
                <w:sz w:val="22"/>
              </w:rPr>
            </w:pPr>
          </w:p>
        </w:tc>
        <w:tc>
          <w:tcPr>
            <w:tcW w:w="2132" w:type="dxa"/>
            <w:vAlign w:val="center"/>
          </w:tcPr>
          <w:p>
            <w:pPr>
              <w:spacing w:line="240" w:lineRule="auto"/>
              <w:ind w:firstLine="0" w:firstLineChars="0"/>
              <w:jc w:val="left"/>
              <w:rPr>
                <w:rFonts w:hint="default" w:ascii="仿宋_GB2312" w:hAnsi="仿宋_GB2312" w:eastAsia="仿宋_GB2312" w:cs="仿宋_GB2312"/>
                <w:color w:val="auto"/>
                <w:kern w:val="0"/>
                <w:sz w:val="22"/>
                <w:lang w:val="en-US" w:eastAsia="zh-CN"/>
              </w:rPr>
            </w:pPr>
            <w:r>
              <w:rPr>
                <w:rFonts w:hint="eastAsia" w:ascii="仿宋_GB2312" w:hAnsi="仿宋_GB2312" w:eastAsia="仿宋_GB2312" w:cs="仿宋_GB2312"/>
                <w:color w:val="auto"/>
                <w:kern w:val="0"/>
                <w:sz w:val="22"/>
              </w:rPr>
              <w:t>（2）</w:t>
            </w:r>
            <w:r>
              <w:rPr>
                <w:rFonts w:hint="eastAsia" w:ascii="仿宋_GB2312" w:hAnsi="仿宋_GB2312" w:eastAsia="仿宋_GB2312" w:cs="仿宋_GB2312"/>
                <w:color w:val="auto"/>
                <w:kern w:val="0"/>
                <w:sz w:val="22"/>
                <w:lang w:val="en-US" w:eastAsia="zh-CN"/>
              </w:rPr>
              <w:t>龙骨隔墙</w:t>
            </w:r>
          </w:p>
          <w:p>
            <w:pPr>
              <w:spacing w:line="240" w:lineRule="auto"/>
              <w:ind w:firstLine="0" w:firstLineChars="0"/>
              <w:jc w:val="left"/>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（含过程得分）</w:t>
            </w:r>
          </w:p>
        </w:tc>
        <w:tc>
          <w:tcPr>
            <w:tcW w:w="1013"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100</w:t>
            </w:r>
          </w:p>
        </w:tc>
        <w:tc>
          <w:tcPr>
            <w:tcW w:w="975"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15%</w:t>
            </w:r>
          </w:p>
        </w:tc>
        <w:tc>
          <w:tcPr>
            <w:tcW w:w="750" w:type="dxa"/>
            <w:vMerge w:val="continue"/>
            <w:vAlign w:val="center"/>
          </w:tcPr>
          <w:p>
            <w:pPr>
              <w:spacing w:line="240" w:lineRule="auto"/>
              <w:ind w:firstLine="440"/>
              <w:jc w:val="center"/>
              <w:rPr>
                <w:rFonts w:ascii="仿宋_GB2312" w:hAnsi="仿宋_GB2312" w:eastAsia="仿宋_GB2312" w:cs="仿宋_GB2312"/>
                <w:color w:val="auto"/>
                <w:kern w:val="0"/>
                <w:sz w:val="22"/>
              </w:rPr>
            </w:pPr>
          </w:p>
        </w:tc>
        <w:tc>
          <w:tcPr>
            <w:tcW w:w="1042" w:type="dxa"/>
            <w:vMerge w:val="continue"/>
            <w:vAlign w:val="center"/>
          </w:tcPr>
          <w:p>
            <w:pPr>
              <w:spacing w:line="240" w:lineRule="auto"/>
              <w:ind w:firstLine="440"/>
              <w:jc w:val="center"/>
              <w:rPr>
                <w:rFonts w:ascii="仿宋_GB2312" w:hAnsi="仿宋_GB2312" w:eastAsia="仿宋_GB2312" w:cs="仿宋_GB2312"/>
                <w:color w:val="auto"/>
                <w:kern w:val="0"/>
                <w:sz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247" w:type="dxa"/>
            <w:vMerge w:val="continue"/>
            <w:vAlign w:val="center"/>
          </w:tcPr>
          <w:p>
            <w:pPr>
              <w:spacing w:line="240" w:lineRule="auto"/>
              <w:ind w:firstLine="440"/>
              <w:jc w:val="center"/>
              <w:rPr>
                <w:rFonts w:ascii="仿宋_GB2312" w:hAnsi="仿宋_GB2312" w:eastAsia="仿宋_GB2312" w:cs="仿宋_GB2312"/>
                <w:color w:val="auto"/>
                <w:kern w:val="0"/>
                <w:sz w:val="22"/>
              </w:rPr>
            </w:pPr>
          </w:p>
        </w:tc>
        <w:tc>
          <w:tcPr>
            <w:tcW w:w="1363" w:type="dxa"/>
            <w:vMerge w:val="continue"/>
            <w:vAlign w:val="center"/>
          </w:tcPr>
          <w:p>
            <w:pPr>
              <w:spacing w:line="240" w:lineRule="auto"/>
              <w:ind w:firstLine="0" w:firstLineChars="0"/>
              <w:jc w:val="center"/>
              <w:rPr>
                <w:rFonts w:ascii="仿宋_GB2312" w:hAnsi="仿宋_GB2312" w:eastAsia="仿宋_GB2312" w:cs="仿宋_GB2312"/>
                <w:color w:val="auto"/>
                <w:kern w:val="0"/>
                <w:sz w:val="22"/>
              </w:rPr>
            </w:pPr>
          </w:p>
        </w:tc>
        <w:tc>
          <w:tcPr>
            <w:tcW w:w="2132" w:type="dxa"/>
            <w:vAlign w:val="center"/>
          </w:tcPr>
          <w:p>
            <w:pPr>
              <w:spacing w:line="240" w:lineRule="auto"/>
              <w:ind w:firstLine="0" w:firstLineChars="0"/>
              <w:jc w:val="left"/>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（3）墙面抹灰</w:t>
            </w:r>
          </w:p>
        </w:tc>
        <w:tc>
          <w:tcPr>
            <w:tcW w:w="1013"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100</w:t>
            </w:r>
          </w:p>
        </w:tc>
        <w:tc>
          <w:tcPr>
            <w:tcW w:w="975"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15%</w:t>
            </w:r>
          </w:p>
        </w:tc>
        <w:tc>
          <w:tcPr>
            <w:tcW w:w="750" w:type="dxa"/>
            <w:vMerge w:val="continue"/>
            <w:vAlign w:val="center"/>
          </w:tcPr>
          <w:p>
            <w:pPr>
              <w:spacing w:line="240" w:lineRule="auto"/>
              <w:ind w:firstLine="440"/>
              <w:jc w:val="center"/>
              <w:rPr>
                <w:rFonts w:ascii="仿宋_GB2312" w:hAnsi="仿宋_GB2312" w:eastAsia="仿宋_GB2312" w:cs="仿宋_GB2312"/>
                <w:color w:val="auto"/>
                <w:kern w:val="0"/>
                <w:sz w:val="22"/>
              </w:rPr>
            </w:pPr>
          </w:p>
        </w:tc>
        <w:tc>
          <w:tcPr>
            <w:tcW w:w="1042" w:type="dxa"/>
            <w:vMerge w:val="continue"/>
            <w:vAlign w:val="center"/>
          </w:tcPr>
          <w:p>
            <w:pPr>
              <w:spacing w:line="240" w:lineRule="auto"/>
              <w:ind w:firstLine="440"/>
              <w:jc w:val="center"/>
              <w:rPr>
                <w:rFonts w:ascii="仿宋_GB2312" w:hAnsi="仿宋_GB2312" w:eastAsia="仿宋_GB2312" w:cs="仿宋_GB2312"/>
                <w:color w:val="auto"/>
                <w:kern w:val="0"/>
                <w:sz w:val="22"/>
              </w:rPr>
            </w:pPr>
          </w:p>
        </w:tc>
      </w:tr>
    </w:tbl>
    <w:p>
      <w:pPr>
        <w:pStyle w:val="16"/>
        <w:spacing w:line="360" w:lineRule="auto"/>
        <w:jc w:val="center"/>
        <w:rPr>
          <w:rFonts w:hint="eastAsia" w:ascii="仿宋_GB2312" w:hAnsi="仿宋_GB2312" w:eastAsia="仿宋_GB2312" w:cs="仿宋_GB2312"/>
          <w:color w:val="auto"/>
        </w:rPr>
      </w:pPr>
    </w:p>
    <w:p>
      <w:pPr>
        <w:pStyle w:val="16"/>
        <w:spacing w:line="360" w:lineRule="auto"/>
        <w:jc w:val="center"/>
        <w:rPr>
          <w:rFonts w:ascii="仿宋_GB2312" w:hAnsi="仿宋_GB2312" w:eastAsia="仿宋_GB2312" w:cs="仿宋_GB2312"/>
          <w:color w:val="auto"/>
        </w:rPr>
      </w:pPr>
      <w:r>
        <w:rPr>
          <w:rFonts w:hint="eastAsia" w:ascii="仿宋_GB2312" w:hAnsi="仿宋_GB2312" w:eastAsia="仿宋_GB2312" w:cs="仿宋_GB2312"/>
          <w:color w:val="auto"/>
        </w:rPr>
        <w:t>表12 教师组成绩组成表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1357"/>
        <w:gridCol w:w="2126"/>
        <w:gridCol w:w="1035"/>
        <w:gridCol w:w="900"/>
        <w:gridCol w:w="86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3" w:type="dxa"/>
            <w:gridSpan w:val="3"/>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竞赛环节</w:t>
            </w:r>
          </w:p>
        </w:tc>
        <w:tc>
          <w:tcPr>
            <w:tcW w:w="1035"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标准分</w:t>
            </w:r>
          </w:p>
        </w:tc>
        <w:tc>
          <w:tcPr>
            <w:tcW w:w="1762" w:type="dxa"/>
            <w:gridSpan w:val="2"/>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占总比</w:t>
            </w:r>
          </w:p>
        </w:tc>
        <w:tc>
          <w:tcPr>
            <w:tcW w:w="992"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3" w:type="dxa"/>
            <w:gridSpan w:val="3"/>
            <w:vAlign w:val="center"/>
          </w:tcPr>
          <w:p>
            <w:pPr>
              <w:spacing w:line="240" w:lineRule="auto"/>
              <w:ind w:firstLine="0" w:firstLineChars="0"/>
              <w:jc w:val="left"/>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一、理论考核</w:t>
            </w:r>
          </w:p>
        </w:tc>
        <w:tc>
          <w:tcPr>
            <w:tcW w:w="1035"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100</w:t>
            </w:r>
          </w:p>
        </w:tc>
        <w:tc>
          <w:tcPr>
            <w:tcW w:w="900"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10%</w:t>
            </w:r>
          </w:p>
        </w:tc>
        <w:tc>
          <w:tcPr>
            <w:tcW w:w="862" w:type="dxa"/>
            <w:vAlign w:val="center"/>
          </w:tcPr>
          <w:p>
            <w:pPr>
              <w:ind w:firstLine="0" w:firstLineChars="0"/>
              <w:jc w:val="center"/>
              <w:rPr>
                <w:rFonts w:ascii="仿宋_GB2312" w:hAnsi="仿宋_GB2312" w:eastAsia="仿宋_GB2312" w:cs="仿宋_GB2312"/>
                <w:color w:val="auto"/>
                <w:kern w:val="0"/>
                <w:szCs w:val="24"/>
              </w:rPr>
            </w:pPr>
            <w:r>
              <w:rPr>
                <w:rFonts w:hint="eastAsia" w:ascii="仿宋_GB2312" w:hAnsi="仿宋_GB2312" w:eastAsia="仿宋_GB2312" w:cs="仿宋_GB2312"/>
                <w:color w:val="auto"/>
                <w:kern w:val="0"/>
                <w:szCs w:val="24"/>
              </w:rPr>
              <w:t>10%</w:t>
            </w:r>
          </w:p>
        </w:tc>
        <w:tc>
          <w:tcPr>
            <w:tcW w:w="992" w:type="dxa"/>
            <w:vMerge w:val="restart"/>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1"/>
                <w:szCs w:val="21"/>
              </w:rPr>
              <w:t>在理论考核和施工操作过程考核中含5%的职业素养得分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51" w:type="dxa"/>
            <w:vMerge w:val="restart"/>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二、技能考核</w:t>
            </w:r>
          </w:p>
        </w:tc>
        <w:tc>
          <w:tcPr>
            <w:tcW w:w="1358" w:type="dxa"/>
            <w:vMerge w:val="restart"/>
            <w:vAlign w:val="center"/>
          </w:tcPr>
          <w:p>
            <w:pPr>
              <w:spacing w:line="240" w:lineRule="auto"/>
              <w:ind w:firstLine="0" w:firstLineChars="0"/>
              <w:jc w:val="left"/>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1.方案施工图设计</w:t>
            </w:r>
          </w:p>
        </w:tc>
        <w:tc>
          <w:tcPr>
            <w:tcW w:w="2124" w:type="dxa"/>
            <w:vAlign w:val="center"/>
          </w:tcPr>
          <w:p>
            <w:pPr>
              <w:spacing w:line="240" w:lineRule="auto"/>
              <w:ind w:firstLine="0" w:firstLineChars="0"/>
              <w:jc w:val="left"/>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（1）瓷砖镶贴设计</w:t>
            </w:r>
          </w:p>
        </w:tc>
        <w:tc>
          <w:tcPr>
            <w:tcW w:w="1035"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100</w:t>
            </w:r>
          </w:p>
        </w:tc>
        <w:tc>
          <w:tcPr>
            <w:tcW w:w="900"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20%</w:t>
            </w:r>
          </w:p>
        </w:tc>
        <w:tc>
          <w:tcPr>
            <w:tcW w:w="862" w:type="dxa"/>
            <w:vMerge w:val="restart"/>
            <w:vAlign w:val="center"/>
          </w:tcPr>
          <w:p>
            <w:pPr>
              <w:ind w:firstLine="0" w:firstLineChars="0"/>
              <w:jc w:val="center"/>
              <w:rPr>
                <w:rFonts w:ascii="仿宋_GB2312" w:hAnsi="仿宋_GB2312" w:eastAsia="仿宋_GB2312" w:cs="仿宋_GB2312"/>
                <w:color w:val="auto"/>
                <w:kern w:val="0"/>
                <w:szCs w:val="24"/>
              </w:rPr>
            </w:pPr>
            <w:r>
              <w:rPr>
                <w:rFonts w:hint="eastAsia" w:ascii="仿宋_GB2312" w:hAnsi="仿宋_GB2312" w:eastAsia="仿宋_GB2312" w:cs="仿宋_GB2312"/>
                <w:color w:val="auto"/>
                <w:kern w:val="0"/>
                <w:szCs w:val="24"/>
              </w:rPr>
              <w:t>90%</w:t>
            </w:r>
          </w:p>
        </w:tc>
        <w:tc>
          <w:tcPr>
            <w:tcW w:w="992" w:type="dxa"/>
            <w:vMerge w:val="continue"/>
            <w:vAlign w:val="center"/>
          </w:tcPr>
          <w:p>
            <w:pPr>
              <w:ind w:firstLine="480"/>
              <w:jc w:val="center"/>
              <w:rPr>
                <w:rFonts w:ascii="仿宋_GB2312" w:hAnsi="仿宋_GB2312" w:eastAsia="仿宋_GB2312" w:cs="仿宋_GB2312"/>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251" w:type="dxa"/>
            <w:vMerge w:val="continue"/>
            <w:vAlign w:val="center"/>
          </w:tcPr>
          <w:p>
            <w:pPr>
              <w:spacing w:line="240" w:lineRule="auto"/>
              <w:ind w:firstLine="0" w:firstLineChars="0"/>
              <w:jc w:val="center"/>
              <w:rPr>
                <w:rFonts w:ascii="仿宋_GB2312" w:hAnsi="仿宋_GB2312" w:eastAsia="仿宋_GB2312" w:cs="仿宋_GB2312"/>
                <w:color w:val="auto"/>
                <w:kern w:val="0"/>
                <w:sz w:val="22"/>
              </w:rPr>
            </w:pPr>
          </w:p>
        </w:tc>
        <w:tc>
          <w:tcPr>
            <w:tcW w:w="1358" w:type="dxa"/>
            <w:vMerge w:val="continue"/>
            <w:vAlign w:val="center"/>
          </w:tcPr>
          <w:p>
            <w:pPr>
              <w:spacing w:line="240" w:lineRule="auto"/>
              <w:ind w:firstLine="0" w:firstLineChars="0"/>
              <w:jc w:val="left"/>
              <w:rPr>
                <w:rFonts w:ascii="仿宋_GB2312" w:hAnsi="仿宋_GB2312" w:eastAsia="仿宋_GB2312" w:cs="仿宋_GB2312"/>
                <w:color w:val="auto"/>
                <w:kern w:val="0"/>
                <w:sz w:val="22"/>
              </w:rPr>
            </w:pPr>
          </w:p>
        </w:tc>
        <w:tc>
          <w:tcPr>
            <w:tcW w:w="2124" w:type="dxa"/>
            <w:vAlign w:val="center"/>
          </w:tcPr>
          <w:p>
            <w:pPr>
              <w:spacing w:line="240" w:lineRule="auto"/>
              <w:ind w:firstLine="0" w:firstLineChars="0"/>
              <w:jc w:val="left"/>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（2）龙骨隔墙设计</w:t>
            </w:r>
          </w:p>
        </w:tc>
        <w:tc>
          <w:tcPr>
            <w:tcW w:w="1035"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100</w:t>
            </w:r>
          </w:p>
        </w:tc>
        <w:tc>
          <w:tcPr>
            <w:tcW w:w="900"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20%</w:t>
            </w:r>
          </w:p>
        </w:tc>
        <w:tc>
          <w:tcPr>
            <w:tcW w:w="862" w:type="dxa"/>
            <w:vMerge w:val="continue"/>
            <w:vAlign w:val="center"/>
          </w:tcPr>
          <w:p>
            <w:pPr>
              <w:ind w:firstLine="480"/>
              <w:jc w:val="center"/>
              <w:rPr>
                <w:rFonts w:ascii="仿宋_GB2312" w:hAnsi="仿宋_GB2312" w:eastAsia="仿宋_GB2312" w:cs="仿宋_GB2312"/>
                <w:color w:val="auto"/>
                <w:kern w:val="0"/>
                <w:szCs w:val="24"/>
              </w:rPr>
            </w:pPr>
          </w:p>
        </w:tc>
        <w:tc>
          <w:tcPr>
            <w:tcW w:w="992" w:type="dxa"/>
            <w:vMerge w:val="continue"/>
            <w:vAlign w:val="center"/>
          </w:tcPr>
          <w:p>
            <w:pPr>
              <w:ind w:firstLine="480"/>
              <w:jc w:val="center"/>
              <w:rPr>
                <w:rFonts w:ascii="仿宋_GB2312" w:hAnsi="仿宋_GB2312" w:eastAsia="仿宋_GB2312" w:cs="仿宋_GB2312"/>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vMerge w:val="continue"/>
            <w:vAlign w:val="center"/>
          </w:tcPr>
          <w:p>
            <w:pPr>
              <w:spacing w:line="240" w:lineRule="auto"/>
              <w:ind w:firstLine="0" w:firstLineChars="0"/>
              <w:jc w:val="center"/>
              <w:rPr>
                <w:rFonts w:ascii="仿宋_GB2312" w:hAnsi="仿宋_GB2312" w:eastAsia="仿宋_GB2312" w:cs="仿宋_GB2312"/>
                <w:color w:val="auto"/>
                <w:kern w:val="0"/>
                <w:sz w:val="22"/>
              </w:rPr>
            </w:pPr>
          </w:p>
        </w:tc>
        <w:tc>
          <w:tcPr>
            <w:tcW w:w="3482" w:type="dxa"/>
            <w:gridSpan w:val="2"/>
            <w:vAlign w:val="center"/>
          </w:tcPr>
          <w:p>
            <w:pPr>
              <w:spacing w:line="240" w:lineRule="auto"/>
              <w:ind w:firstLine="0" w:firstLineChars="0"/>
              <w:jc w:val="left"/>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2.材料测算</w:t>
            </w:r>
          </w:p>
        </w:tc>
        <w:tc>
          <w:tcPr>
            <w:tcW w:w="1035"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100</w:t>
            </w:r>
          </w:p>
        </w:tc>
        <w:tc>
          <w:tcPr>
            <w:tcW w:w="900"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10%</w:t>
            </w:r>
          </w:p>
        </w:tc>
        <w:tc>
          <w:tcPr>
            <w:tcW w:w="862" w:type="dxa"/>
            <w:vMerge w:val="continue"/>
            <w:vAlign w:val="center"/>
          </w:tcPr>
          <w:p>
            <w:pPr>
              <w:ind w:firstLine="480"/>
              <w:jc w:val="center"/>
              <w:rPr>
                <w:rFonts w:ascii="仿宋_GB2312" w:hAnsi="仿宋_GB2312" w:eastAsia="仿宋_GB2312" w:cs="仿宋_GB2312"/>
                <w:color w:val="auto"/>
                <w:kern w:val="0"/>
                <w:szCs w:val="24"/>
              </w:rPr>
            </w:pPr>
          </w:p>
        </w:tc>
        <w:tc>
          <w:tcPr>
            <w:tcW w:w="992" w:type="dxa"/>
            <w:vMerge w:val="continue"/>
            <w:vAlign w:val="center"/>
          </w:tcPr>
          <w:p>
            <w:pPr>
              <w:ind w:firstLine="480"/>
              <w:jc w:val="center"/>
              <w:rPr>
                <w:rFonts w:ascii="仿宋_GB2312" w:hAnsi="仿宋_GB2312" w:eastAsia="仿宋_GB2312" w:cs="仿宋_GB2312"/>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vMerge w:val="continue"/>
            <w:vAlign w:val="center"/>
          </w:tcPr>
          <w:p>
            <w:pPr>
              <w:spacing w:line="240" w:lineRule="auto"/>
              <w:ind w:firstLine="0" w:firstLineChars="0"/>
              <w:jc w:val="center"/>
              <w:rPr>
                <w:rFonts w:ascii="仿宋_GB2312" w:hAnsi="仿宋_GB2312" w:eastAsia="仿宋_GB2312" w:cs="仿宋_GB2312"/>
                <w:color w:val="auto"/>
                <w:kern w:val="0"/>
                <w:sz w:val="22"/>
              </w:rPr>
            </w:pPr>
          </w:p>
        </w:tc>
        <w:tc>
          <w:tcPr>
            <w:tcW w:w="1355" w:type="dxa"/>
            <w:vMerge w:val="restart"/>
            <w:vAlign w:val="center"/>
          </w:tcPr>
          <w:p>
            <w:pPr>
              <w:spacing w:line="240" w:lineRule="auto"/>
              <w:ind w:firstLine="0" w:firstLineChars="0"/>
              <w:jc w:val="left"/>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3.施工操作</w:t>
            </w:r>
          </w:p>
        </w:tc>
        <w:tc>
          <w:tcPr>
            <w:tcW w:w="2127" w:type="dxa"/>
            <w:vAlign w:val="center"/>
          </w:tcPr>
          <w:p>
            <w:pPr>
              <w:spacing w:line="240" w:lineRule="auto"/>
              <w:ind w:firstLine="0" w:firstLineChars="0"/>
              <w:jc w:val="left"/>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（1）瓷砖镶贴</w:t>
            </w:r>
          </w:p>
          <w:p>
            <w:pPr>
              <w:spacing w:line="240" w:lineRule="auto"/>
              <w:ind w:firstLine="0" w:firstLineChars="0"/>
              <w:jc w:val="left"/>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（含过程得分）</w:t>
            </w:r>
          </w:p>
        </w:tc>
        <w:tc>
          <w:tcPr>
            <w:tcW w:w="1035"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100</w:t>
            </w:r>
          </w:p>
        </w:tc>
        <w:tc>
          <w:tcPr>
            <w:tcW w:w="900"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25%</w:t>
            </w:r>
          </w:p>
        </w:tc>
        <w:tc>
          <w:tcPr>
            <w:tcW w:w="862" w:type="dxa"/>
            <w:vMerge w:val="continue"/>
            <w:vAlign w:val="center"/>
          </w:tcPr>
          <w:p>
            <w:pPr>
              <w:ind w:firstLine="480"/>
              <w:jc w:val="center"/>
              <w:rPr>
                <w:rFonts w:ascii="仿宋_GB2312" w:hAnsi="仿宋_GB2312" w:eastAsia="仿宋_GB2312" w:cs="仿宋_GB2312"/>
                <w:color w:val="auto"/>
                <w:kern w:val="0"/>
                <w:szCs w:val="24"/>
              </w:rPr>
            </w:pPr>
          </w:p>
        </w:tc>
        <w:tc>
          <w:tcPr>
            <w:tcW w:w="992" w:type="dxa"/>
            <w:vMerge w:val="continue"/>
            <w:vAlign w:val="center"/>
          </w:tcPr>
          <w:p>
            <w:pPr>
              <w:ind w:firstLine="480"/>
              <w:jc w:val="center"/>
              <w:rPr>
                <w:rFonts w:ascii="仿宋_GB2312" w:hAnsi="仿宋_GB2312" w:eastAsia="仿宋_GB2312" w:cs="仿宋_GB2312"/>
                <w:color w:val="auto"/>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 w:type="dxa"/>
            <w:vMerge w:val="continue"/>
            <w:vAlign w:val="center"/>
          </w:tcPr>
          <w:p>
            <w:pPr>
              <w:spacing w:line="240" w:lineRule="auto"/>
              <w:ind w:firstLine="0" w:firstLineChars="0"/>
              <w:jc w:val="center"/>
              <w:rPr>
                <w:rFonts w:ascii="仿宋_GB2312" w:hAnsi="仿宋_GB2312" w:eastAsia="仿宋_GB2312" w:cs="仿宋_GB2312"/>
                <w:color w:val="auto"/>
                <w:kern w:val="0"/>
                <w:sz w:val="22"/>
              </w:rPr>
            </w:pPr>
          </w:p>
        </w:tc>
        <w:tc>
          <w:tcPr>
            <w:tcW w:w="1355" w:type="dxa"/>
            <w:vMerge w:val="continue"/>
            <w:vAlign w:val="center"/>
          </w:tcPr>
          <w:p>
            <w:pPr>
              <w:spacing w:line="240" w:lineRule="auto"/>
              <w:ind w:firstLine="0" w:firstLineChars="0"/>
              <w:jc w:val="center"/>
              <w:rPr>
                <w:rFonts w:ascii="仿宋_GB2312" w:hAnsi="仿宋_GB2312" w:eastAsia="仿宋_GB2312" w:cs="仿宋_GB2312"/>
                <w:color w:val="auto"/>
                <w:kern w:val="0"/>
                <w:sz w:val="22"/>
              </w:rPr>
            </w:pPr>
          </w:p>
        </w:tc>
        <w:tc>
          <w:tcPr>
            <w:tcW w:w="2127" w:type="dxa"/>
            <w:vAlign w:val="center"/>
          </w:tcPr>
          <w:p>
            <w:pPr>
              <w:spacing w:line="240" w:lineRule="auto"/>
              <w:ind w:firstLine="0" w:firstLineChars="0"/>
              <w:jc w:val="left"/>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（2）</w:t>
            </w:r>
            <w:r>
              <w:rPr>
                <w:rFonts w:hint="eastAsia" w:ascii="仿宋_GB2312" w:hAnsi="仿宋_GB2312" w:eastAsia="仿宋_GB2312" w:cs="仿宋_GB2312"/>
                <w:color w:val="auto"/>
                <w:kern w:val="0"/>
                <w:sz w:val="22"/>
                <w:lang w:val="en-US" w:eastAsia="zh-CN"/>
              </w:rPr>
              <w:t>龙骨隔墙</w:t>
            </w:r>
          </w:p>
          <w:p>
            <w:pPr>
              <w:spacing w:line="240" w:lineRule="auto"/>
              <w:ind w:firstLine="0" w:firstLineChars="0"/>
              <w:jc w:val="left"/>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（含过程得分）</w:t>
            </w:r>
          </w:p>
        </w:tc>
        <w:tc>
          <w:tcPr>
            <w:tcW w:w="1035"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100</w:t>
            </w:r>
          </w:p>
        </w:tc>
        <w:tc>
          <w:tcPr>
            <w:tcW w:w="900" w:type="dxa"/>
            <w:vAlign w:val="center"/>
          </w:tcPr>
          <w:p>
            <w:pPr>
              <w:spacing w:line="240" w:lineRule="auto"/>
              <w:ind w:firstLine="0" w:firstLineChars="0"/>
              <w:jc w:val="center"/>
              <w:rPr>
                <w:rFonts w:ascii="仿宋_GB2312" w:hAnsi="仿宋_GB2312" w:eastAsia="仿宋_GB2312" w:cs="仿宋_GB2312"/>
                <w:color w:val="auto"/>
                <w:kern w:val="0"/>
                <w:sz w:val="22"/>
              </w:rPr>
            </w:pPr>
            <w:r>
              <w:rPr>
                <w:rFonts w:hint="eastAsia" w:ascii="仿宋_GB2312" w:hAnsi="仿宋_GB2312" w:eastAsia="仿宋_GB2312" w:cs="仿宋_GB2312"/>
                <w:color w:val="auto"/>
                <w:kern w:val="0"/>
                <w:sz w:val="22"/>
              </w:rPr>
              <w:t>15%</w:t>
            </w:r>
          </w:p>
        </w:tc>
        <w:tc>
          <w:tcPr>
            <w:tcW w:w="862" w:type="dxa"/>
            <w:vMerge w:val="continue"/>
            <w:vAlign w:val="center"/>
          </w:tcPr>
          <w:p>
            <w:pPr>
              <w:ind w:firstLine="480"/>
              <w:jc w:val="center"/>
              <w:rPr>
                <w:rFonts w:ascii="仿宋_GB2312" w:hAnsi="仿宋_GB2312" w:eastAsia="仿宋_GB2312" w:cs="仿宋_GB2312"/>
                <w:color w:val="auto"/>
                <w:kern w:val="0"/>
                <w:szCs w:val="24"/>
              </w:rPr>
            </w:pPr>
          </w:p>
        </w:tc>
        <w:tc>
          <w:tcPr>
            <w:tcW w:w="992" w:type="dxa"/>
            <w:vMerge w:val="continue"/>
            <w:vAlign w:val="center"/>
          </w:tcPr>
          <w:p>
            <w:pPr>
              <w:ind w:firstLine="480"/>
              <w:jc w:val="center"/>
              <w:rPr>
                <w:rFonts w:ascii="仿宋_GB2312" w:hAnsi="仿宋_GB2312" w:eastAsia="仿宋_GB2312" w:cs="仿宋_GB2312"/>
                <w:color w:val="auto"/>
                <w:kern w:val="0"/>
                <w:szCs w:val="24"/>
              </w:rPr>
            </w:pPr>
          </w:p>
        </w:tc>
      </w:tr>
    </w:tbl>
    <w:p>
      <w:pPr>
        <w:autoSpaceDE w:val="0"/>
        <w:autoSpaceDN w:val="0"/>
        <w:ind w:firstLine="480"/>
        <w:rPr>
          <w:rFonts w:hint="eastAsia" w:ascii="仿宋" w:hAnsi="仿宋" w:cs="Times New Roman"/>
          <w:color w:val="auto"/>
          <w:kern w:val="0"/>
          <w:szCs w:val="24"/>
        </w:rPr>
      </w:pPr>
    </w:p>
    <w:p>
      <w:pPr>
        <w:autoSpaceDE w:val="0"/>
        <w:autoSpaceDN w:val="0"/>
        <w:ind w:firstLine="480"/>
        <w:rPr>
          <w:rFonts w:ascii="仿宋" w:hAnsi="仿宋" w:cs="Times New Roman"/>
          <w:color w:val="auto"/>
          <w:kern w:val="0"/>
          <w:szCs w:val="24"/>
        </w:rPr>
      </w:pPr>
      <w:r>
        <w:rPr>
          <w:rFonts w:ascii="仿宋" w:hAnsi="仿宋" w:cs="Times New Roman"/>
          <w:color w:val="auto"/>
          <w:kern w:val="0"/>
          <w:szCs w:val="24"/>
        </w:rPr>
        <w:t>4.成绩审核</w:t>
      </w:r>
      <w:r>
        <w:rPr>
          <w:rFonts w:hint="eastAsia" w:ascii="仿宋" w:hAnsi="仿宋" w:cs="Times New Roman"/>
          <w:color w:val="auto"/>
          <w:kern w:val="0"/>
          <w:szCs w:val="24"/>
        </w:rPr>
        <w:t>方法</w:t>
      </w:r>
    </w:p>
    <w:p>
      <w:pPr>
        <w:autoSpaceDE w:val="0"/>
        <w:autoSpaceDN w:val="0"/>
        <w:ind w:firstLine="448"/>
        <w:rPr>
          <w:rFonts w:ascii="仿宋" w:hAnsi="仿宋" w:cs="Times New Roman"/>
          <w:color w:val="auto"/>
          <w:kern w:val="0"/>
          <w:szCs w:val="24"/>
        </w:rPr>
      </w:pPr>
      <w:r>
        <w:rPr>
          <w:rFonts w:ascii="仿宋" w:hAnsi="仿宋" w:cs="Times New Roman"/>
          <w:color w:val="auto"/>
          <w:spacing w:val="-8"/>
          <w:kern w:val="0"/>
          <w:szCs w:val="24"/>
        </w:rPr>
        <w:t>各裁判员首先审核自身对选手的原始打分成绩，并签名；裁判长</w:t>
      </w:r>
      <w:r>
        <w:rPr>
          <w:rFonts w:ascii="仿宋" w:hAnsi="仿宋" w:cs="Times New Roman"/>
          <w:color w:val="auto"/>
          <w:spacing w:val="-3"/>
          <w:kern w:val="0"/>
          <w:szCs w:val="24"/>
        </w:rPr>
        <w:t>对所有裁判员的打分成绩进行审核，并签名。</w:t>
      </w:r>
    </w:p>
    <w:p>
      <w:pPr>
        <w:autoSpaceDE w:val="0"/>
        <w:autoSpaceDN w:val="0"/>
        <w:ind w:firstLine="480"/>
        <w:rPr>
          <w:rFonts w:ascii="仿宋" w:hAnsi="仿宋" w:cs="Times New Roman"/>
          <w:color w:val="auto"/>
          <w:kern w:val="0"/>
          <w:szCs w:val="24"/>
        </w:rPr>
      </w:pPr>
      <w:r>
        <w:rPr>
          <w:rFonts w:ascii="仿宋" w:hAnsi="仿宋" w:cs="Times New Roman"/>
          <w:color w:val="auto"/>
          <w:kern w:val="0"/>
          <w:szCs w:val="24"/>
        </w:rPr>
        <w:t>（二）成绩复核与解密</w:t>
      </w:r>
    </w:p>
    <w:p>
      <w:pPr>
        <w:autoSpaceDE w:val="0"/>
        <w:autoSpaceDN w:val="0"/>
        <w:ind w:firstLine="480"/>
        <w:rPr>
          <w:rFonts w:ascii="仿宋" w:hAnsi="仿宋" w:cs="Times New Roman"/>
          <w:color w:val="auto"/>
          <w:kern w:val="0"/>
          <w:szCs w:val="24"/>
        </w:rPr>
      </w:pPr>
      <w:r>
        <w:rPr>
          <w:rFonts w:ascii="仿宋" w:hAnsi="仿宋" w:cs="Times New Roman"/>
          <w:color w:val="auto"/>
          <w:kern w:val="0"/>
          <w:szCs w:val="24"/>
        </w:rPr>
        <w:t>监督、仲裁组将对赛项总成绩排名前30%的所有参赛队伍（选手）的成绩进行复核；对其余成绩进行抽检</w:t>
      </w:r>
      <w:r>
        <w:rPr>
          <w:rFonts w:ascii="仿宋" w:hAnsi="仿宋" w:cs="Times New Roman"/>
          <w:color w:val="auto"/>
          <w:spacing w:val="-10"/>
          <w:kern w:val="0"/>
          <w:szCs w:val="24"/>
        </w:rPr>
        <w:t>复核，抽检覆盖率不得低于</w:t>
      </w:r>
      <w:r>
        <w:rPr>
          <w:rFonts w:ascii="仿宋" w:hAnsi="仿宋" w:cs="Times New Roman"/>
          <w:color w:val="auto"/>
          <w:kern w:val="0"/>
          <w:szCs w:val="24"/>
        </w:rPr>
        <w:t>15%</w:t>
      </w:r>
      <w:r>
        <w:rPr>
          <w:rFonts w:ascii="仿宋" w:hAnsi="仿宋" w:cs="Times New Roman"/>
          <w:color w:val="auto"/>
          <w:spacing w:val="-4"/>
          <w:kern w:val="0"/>
          <w:szCs w:val="24"/>
        </w:rPr>
        <w:t>。如发现成绩错误以书面方式及时告</w:t>
      </w:r>
      <w:r>
        <w:rPr>
          <w:rFonts w:ascii="仿宋" w:hAnsi="仿宋" w:cs="Times New Roman"/>
          <w:color w:val="auto"/>
          <w:spacing w:val="1"/>
          <w:kern w:val="0"/>
          <w:szCs w:val="24"/>
        </w:rPr>
        <w:t>知裁判长，由裁判长更正成绩并签字确认。复核、抽检错误率超过</w:t>
      </w:r>
      <w:r>
        <w:rPr>
          <w:rFonts w:ascii="仿宋" w:hAnsi="仿宋" w:cs="Times New Roman"/>
          <w:color w:val="auto"/>
          <w:kern w:val="0"/>
          <w:szCs w:val="24"/>
        </w:rPr>
        <w:t>5%的，裁判组将对所有成绩进行复核。</w:t>
      </w:r>
    </w:p>
    <w:p>
      <w:pPr>
        <w:autoSpaceDE w:val="0"/>
        <w:autoSpaceDN w:val="0"/>
        <w:ind w:firstLine="480"/>
        <w:rPr>
          <w:rFonts w:ascii="仿宋" w:hAnsi="仿宋" w:cs="Times New Roman"/>
          <w:color w:val="auto"/>
          <w:kern w:val="0"/>
          <w:szCs w:val="24"/>
        </w:rPr>
      </w:pPr>
      <w:r>
        <w:rPr>
          <w:rFonts w:hint="eastAsia" w:ascii="仿宋" w:hAnsi="仿宋" w:cs="Times New Roman"/>
          <w:color w:val="auto"/>
          <w:kern w:val="0"/>
          <w:szCs w:val="24"/>
        </w:rPr>
        <w:t>成绩复核、确认无误后进行成绩排名，得出排名结果后进行解密，不允许先解密后排序。</w:t>
      </w:r>
    </w:p>
    <w:p>
      <w:pPr>
        <w:autoSpaceDE w:val="0"/>
        <w:autoSpaceDN w:val="0"/>
        <w:ind w:firstLine="480"/>
        <w:rPr>
          <w:rFonts w:ascii="仿宋" w:hAnsi="仿宋" w:cs="Times New Roman"/>
          <w:color w:val="auto"/>
          <w:kern w:val="0"/>
          <w:szCs w:val="24"/>
        </w:rPr>
      </w:pPr>
      <w:r>
        <w:rPr>
          <w:rFonts w:ascii="仿宋" w:hAnsi="仿宋" w:cs="Times New Roman"/>
          <w:color w:val="auto"/>
          <w:kern w:val="0"/>
          <w:szCs w:val="24"/>
        </w:rPr>
        <w:t>（三）成绩公布</w:t>
      </w:r>
    </w:p>
    <w:p>
      <w:pPr>
        <w:autoSpaceDE w:val="0"/>
        <w:autoSpaceDN w:val="0"/>
        <w:ind w:firstLine="458" w:firstLineChars="196"/>
        <w:rPr>
          <w:rFonts w:ascii="仿宋" w:hAnsi="仿宋" w:cs="Times New Roman"/>
          <w:color w:val="auto"/>
          <w:spacing w:val="-10"/>
          <w:kern w:val="0"/>
          <w:szCs w:val="24"/>
        </w:rPr>
      </w:pPr>
      <w:r>
        <w:rPr>
          <w:rFonts w:ascii="仿宋" w:hAnsi="仿宋" w:cs="Times New Roman"/>
          <w:color w:val="auto"/>
          <w:spacing w:val="-3"/>
          <w:kern w:val="0"/>
          <w:szCs w:val="24"/>
        </w:rPr>
        <w:t>记分员将解密后的各参赛队竞赛成绩进行汇总制表，经裁判长、监督仲裁组签字后在指定地点，以纸质形式向全体参赛队进行公布。</w:t>
      </w:r>
      <w:r>
        <w:rPr>
          <w:rFonts w:ascii="仿宋" w:hAnsi="仿宋" w:cs="Times New Roman"/>
          <w:color w:val="auto"/>
          <w:spacing w:val="-25"/>
          <w:kern w:val="0"/>
          <w:szCs w:val="24"/>
        </w:rPr>
        <w:t>公布</w:t>
      </w:r>
      <w:r>
        <w:rPr>
          <w:rFonts w:hint="eastAsia" w:ascii="仿宋" w:hAnsi="仿宋" w:cs="Times New Roman"/>
          <w:color w:val="auto"/>
          <w:spacing w:val="-25"/>
          <w:kern w:val="0"/>
          <w:szCs w:val="24"/>
        </w:rPr>
        <w:t>2</w:t>
      </w:r>
      <w:r>
        <w:rPr>
          <w:rFonts w:ascii="仿宋" w:hAnsi="仿宋" w:cs="Times New Roman"/>
          <w:color w:val="auto"/>
          <w:spacing w:val="-10"/>
          <w:kern w:val="0"/>
          <w:szCs w:val="24"/>
        </w:rPr>
        <w:t>小时无异议后，将赛项总成绩的最终结果录入赛务管理系统，经裁判长、监督仲裁组长在导出成绩单上审核签字后，在闭赛式上宣布。</w:t>
      </w:r>
      <w:bookmarkStart w:id="4" w:name="（四）评分标准"/>
      <w:bookmarkEnd w:id="4"/>
    </w:p>
    <w:p>
      <w:pPr>
        <w:autoSpaceDE w:val="0"/>
        <w:autoSpaceDN w:val="0"/>
        <w:ind w:firstLine="480"/>
        <w:rPr>
          <w:rFonts w:ascii="仿宋" w:hAnsi="仿宋" w:cs="Times New Roman"/>
          <w:color w:val="auto"/>
          <w:kern w:val="0"/>
          <w:szCs w:val="24"/>
        </w:rPr>
      </w:pPr>
      <w:r>
        <w:rPr>
          <w:rFonts w:ascii="仿宋" w:hAnsi="仿宋" w:cs="Times New Roman"/>
          <w:color w:val="auto"/>
          <w:kern w:val="0"/>
          <w:szCs w:val="24"/>
        </w:rPr>
        <w:t>（四）评分标准</w:t>
      </w:r>
    </w:p>
    <w:p>
      <w:pPr>
        <w:autoSpaceDE w:val="0"/>
        <w:autoSpaceDN w:val="0"/>
        <w:ind w:firstLine="482"/>
        <w:rPr>
          <w:rFonts w:ascii="仿宋" w:hAnsi="仿宋" w:cs="仿宋"/>
          <w:b/>
          <w:color w:val="auto"/>
          <w:kern w:val="0"/>
          <w:szCs w:val="24"/>
        </w:rPr>
      </w:pPr>
      <w:r>
        <w:rPr>
          <w:rFonts w:hint="eastAsia" w:ascii="仿宋" w:hAnsi="仿宋" w:cs="仿宋"/>
          <w:b/>
          <w:color w:val="auto"/>
          <w:kern w:val="0"/>
          <w:szCs w:val="24"/>
        </w:rPr>
        <w:t>1、学生组：</w:t>
      </w:r>
    </w:p>
    <w:p>
      <w:pPr>
        <w:autoSpaceDE w:val="0"/>
        <w:autoSpaceDN w:val="0"/>
        <w:ind w:firstLine="480"/>
        <w:jc w:val="center"/>
        <w:rPr>
          <w:rFonts w:ascii="仿宋" w:hAnsi="仿宋" w:cs="仿宋"/>
          <w:b/>
          <w:color w:val="auto"/>
          <w:kern w:val="0"/>
          <w:szCs w:val="24"/>
        </w:rPr>
      </w:pPr>
      <w:r>
        <w:rPr>
          <w:rFonts w:hint="eastAsia" w:ascii="仿宋" w:hAnsi="仿宋" w:cs="仿宋"/>
          <w:bCs/>
          <w:color w:val="auto"/>
          <w:kern w:val="0"/>
          <w:szCs w:val="24"/>
        </w:rPr>
        <w:t>表13 学生组评分标准</w:t>
      </w:r>
    </w:p>
    <w:tbl>
      <w:tblPr>
        <w:tblStyle w:val="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
      <w:tblGrid>
        <w:gridCol w:w="1723"/>
        <w:gridCol w:w="1518"/>
        <w:gridCol w:w="3543"/>
        <w:gridCol w:w="14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680" w:hRule="exact"/>
          <w:jc w:val="center"/>
        </w:trPr>
        <w:tc>
          <w:tcPr>
            <w:tcW w:w="1723" w:type="dxa"/>
            <w:tcBorders>
              <w:top w:val="single" w:color="auto" w:sz="8" w:space="0"/>
              <w:bottom w:val="single" w:color="auto" w:sz="8" w:space="0"/>
            </w:tcBorders>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任务（或模块）</w:t>
            </w:r>
          </w:p>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(一级指标)</w:t>
            </w:r>
          </w:p>
        </w:tc>
        <w:tc>
          <w:tcPr>
            <w:tcW w:w="1518" w:type="dxa"/>
            <w:tcBorders>
              <w:top w:val="single" w:color="auto" w:sz="8" w:space="0"/>
              <w:bottom w:val="single" w:color="auto" w:sz="8" w:space="0"/>
            </w:tcBorders>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任务组成</w:t>
            </w:r>
          </w:p>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(二级指标)</w:t>
            </w:r>
          </w:p>
        </w:tc>
        <w:tc>
          <w:tcPr>
            <w:tcW w:w="3543" w:type="dxa"/>
            <w:tcBorders>
              <w:top w:val="single" w:color="auto" w:sz="8" w:space="0"/>
              <w:bottom w:val="single" w:color="auto" w:sz="8" w:space="0"/>
            </w:tcBorders>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技能点、知识点或难易度</w:t>
            </w:r>
          </w:p>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（三级指标）</w:t>
            </w:r>
          </w:p>
        </w:tc>
        <w:tc>
          <w:tcPr>
            <w:tcW w:w="1481" w:type="dxa"/>
            <w:tcBorders>
              <w:top w:val="single" w:color="auto" w:sz="8" w:space="0"/>
              <w:bottom w:val="single" w:color="auto" w:sz="8" w:space="0"/>
            </w:tcBorders>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比例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restart"/>
            <w:tcBorders>
              <w:top w:val="single" w:color="auto" w:sz="8" w:space="0"/>
            </w:tcBorders>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一、建筑装饰施工图设计（含瓷砖墙面设计和轻钢龙骨隔墙设计）</w:t>
            </w:r>
          </w:p>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（30%）</w:t>
            </w:r>
          </w:p>
        </w:tc>
        <w:tc>
          <w:tcPr>
            <w:tcW w:w="1518" w:type="dxa"/>
            <w:vMerge w:val="restart"/>
            <w:tcBorders>
              <w:top w:val="single" w:color="auto" w:sz="8" w:space="0"/>
            </w:tcBorders>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1.方案设计与施工设计说明</w:t>
            </w:r>
          </w:p>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（30%）</w:t>
            </w:r>
          </w:p>
        </w:tc>
        <w:tc>
          <w:tcPr>
            <w:tcW w:w="3543" w:type="dxa"/>
            <w:tcBorders>
              <w:top w:val="single" w:color="auto" w:sz="8" w:space="0"/>
              <w:bottom w:val="single" w:color="auto" w:sz="2" w:space="0"/>
              <w:right w:val="single" w:color="auto" w:sz="2" w:space="0"/>
            </w:tcBorders>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（1）设计的基本原理</w:t>
            </w:r>
          </w:p>
        </w:tc>
        <w:tc>
          <w:tcPr>
            <w:tcW w:w="1481" w:type="dxa"/>
            <w:tcBorders>
              <w:top w:val="single" w:color="auto" w:sz="8" w:space="0"/>
              <w:left w:val="single" w:color="auto" w:sz="2" w:space="0"/>
              <w:bottom w:val="single" w:color="auto" w:sz="2" w:space="0"/>
            </w:tcBorders>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Borders>
              <w:top w:val="single" w:color="auto" w:sz="2" w:space="0"/>
              <w:bottom w:val="single" w:color="auto" w:sz="2" w:space="0"/>
              <w:right w:val="single" w:color="auto" w:sz="2" w:space="0"/>
            </w:tcBorders>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（2）方案构成影响因素</w:t>
            </w:r>
          </w:p>
        </w:tc>
        <w:tc>
          <w:tcPr>
            <w:tcW w:w="1481" w:type="dxa"/>
            <w:tcBorders>
              <w:top w:val="single" w:color="auto" w:sz="2" w:space="0"/>
              <w:left w:val="single" w:color="auto" w:sz="2" w:space="0"/>
              <w:bottom w:val="single" w:color="auto" w:sz="2" w:space="0"/>
            </w:tcBorders>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Borders>
              <w:top w:val="single" w:color="auto" w:sz="2" w:space="0"/>
              <w:bottom w:val="single" w:color="auto" w:sz="4" w:space="0"/>
              <w:right w:val="single" w:color="auto" w:sz="2" w:space="0"/>
            </w:tcBorders>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（3）封面设计</w:t>
            </w:r>
          </w:p>
        </w:tc>
        <w:tc>
          <w:tcPr>
            <w:tcW w:w="1481" w:type="dxa"/>
            <w:tcBorders>
              <w:top w:val="single" w:color="auto" w:sz="2" w:space="0"/>
              <w:left w:val="single" w:color="auto" w:sz="2" w:space="0"/>
              <w:bottom w:val="single" w:color="auto" w:sz="4" w:space="0"/>
            </w:tcBorders>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Borders>
              <w:top w:val="single" w:color="auto" w:sz="4" w:space="0"/>
            </w:tcBorders>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（4）编制施工设计说明</w:t>
            </w:r>
          </w:p>
        </w:tc>
        <w:tc>
          <w:tcPr>
            <w:tcW w:w="1481" w:type="dxa"/>
            <w:tcBorders>
              <w:top w:val="single" w:color="auto" w:sz="4" w:space="0"/>
            </w:tcBorders>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（5）编制材料表</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restart"/>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2.建筑装饰平面图绘制</w:t>
            </w:r>
          </w:p>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（15%）</w:t>
            </w: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（1）制图的基础知识</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（2）建筑装饰平面图的知识</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（3）材料的知识</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（4）绘图的基本要求</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（5）软件操作</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restart"/>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3.建筑装饰立面图绘制（30%）</w:t>
            </w: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（1）制图的基础知识</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（2）建筑装饰平面图的知识</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（3）建筑平面图知识</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（4）材料的知识</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（5）绘图的基本要求</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（6）软件操作</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restart"/>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4.节点大样图及剖切图绘制（25%）</w:t>
            </w: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（1）制图的基础知识</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（2）构造的知识</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（3）材料的知识</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（4）绘图的基本要求</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（5）软件操作</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restart"/>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二、材料测算</w:t>
            </w:r>
          </w:p>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c>
          <w:tcPr>
            <w:tcW w:w="1518" w:type="dxa"/>
            <w:vMerge w:val="restart"/>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1.封面</w:t>
            </w:r>
          </w:p>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（5%）</w:t>
            </w: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（1）图幅知识</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（2）封面设计</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（3）字体</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（4）布局</w:t>
            </w:r>
          </w:p>
        </w:tc>
        <w:tc>
          <w:tcPr>
            <w:tcW w:w="1481"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（5）软件操作</w:t>
            </w:r>
          </w:p>
        </w:tc>
        <w:tc>
          <w:tcPr>
            <w:tcW w:w="1481"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restart"/>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2.编制说明</w:t>
            </w:r>
          </w:p>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15%</w:t>
            </w:r>
          </w:p>
        </w:tc>
        <w:tc>
          <w:tcPr>
            <w:tcW w:w="3543"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（1）工程概况</w:t>
            </w:r>
          </w:p>
        </w:tc>
        <w:tc>
          <w:tcPr>
            <w:tcW w:w="1481"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480"/>
              <w:jc w:val="center"/>
              <w:rPr>
                <w:color w:val="auto"/>
              </w:rPr>
            </w:pPr>
          </w:p>
        </w:tc>
        <w:tc>
          <w:tcPr>
            <w:tcW w:w="1518" w:type="dxa"/>
            <w:vMerge w:val="continue"/>
            <w:vAlign w:val="center"/>
          </w:tcPr>
          <w:p>
            <w:pPr>
              <w:autoSpaceDE w:val="0"/>
              <w:autoSpaceDN w:val="0"/>
              <w:spacing w:line="240" w:lineRule="auto"/>
              <w:ind w:firstLine="480"/>
              <w:jc w:val="center"/>
              <w:rPr>
                <w:color w:val="auto"/>
              </w:rPr>
            </w:pPr>
          </w:p>
        </w:tc>
        <w:tc>
          <w:tcPr>
            <w:tcW w:w="3543"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（2）编制依据和说明</w:t>
            </w:r>
          </w:p>
        </w:tc>
        <w:tc>
          <w:tcPr>
            <w:tcW w:w="1481"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44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440"/>
              <w:jc w:val="center"/>
              <w:rPr>
                <w:rFonts w:ascii="仿宋" w:hAnsi="仿宋" w:cs="仿宋"/>
                <w:color w:val="auto"/>
                <w:sz w:val="22"/>
              </w:rPr>
            </w:pPr>
          </w:p>
        </w:tc>
        <w:tc>
          <w:tcPr>
            <w:tcW w:w="3543"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（3）影响测算因素</w:t>
            </w:r>
          </w:p>
        </w:tc>
        <w:tc>
          <w:tcPr>
            <w:tcW w:w="1481"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44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440"/>
              <w:jc w:val="center"/>
              <w:rPr>
                <w:rFonts w:ascii="仿宋" w:hAnsi="仿宋" w:cs="仿宋"/>
                <w:color w:val="auto"/>
                <w:sz w:val="22"/>
              </w:rPr>
            </w:pPr>
          </w:p>
        </w:tc>
        <w:tc>
          <w:tcPr>
            <w:tcW w:w="3543"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（4）技术要求</w:t>
            </w:r>
          </w:p>
        </w:tc>
        <w:tc>
          <w:tcPr>
            <w:tcW w:w="1481"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44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440"/>
              <w:jc w:val="center"/>
              <w:rPr>
                <w:rFonts w:ascii="仿宋" w:hAnsi="仿宋" w:cs="仿宋"/>
                <w:color w:val="auto"/>
                <w:sz w:val="22"/>
              </w:rPr>
            </w:pPr>
          </w:p>
        </w:tc>
        <w:tc>
          <w:tcPr>
            <w:tcW w:w="3543"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（5）软件操作</w:t>
            </w:r>
          </w:p>
        </w:tc>
        <w:tc>
          <w:tcPr>
            <w:tcW w:w="1481"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restart"/>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3.工程量计算书</w:t>
            </w:r>
          </w:p>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20%</w:t>
            </w:r>
          </w:p>
        </w:tc>
        <w:tc>
          <w:tcPr>
            <w:tcW w:w="3543"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（1）表名、表头、表号、表尾</w:t>
            </w:r>
          </w:p>
        </w:tc>
        <w:tc>
          <w:tcPr>
            <w:tcW w:w="1481"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480"/>
              <w:jc w:val="center"/>
              <w:rPr>
                <w:color w:val="auto"/>
              </w:rPr>
            </w:pPr>
          </w:p>
        </w:tc>
        <w:tc>
          <w:tcPr>
            <w:tcW w:w="1518" w:type="dxa"/>
            <w:vMerge w:val="continue"/>
            <w:vAlign w:val="center"/>
          </w:tcPr>
          <w:p>
            <w:pPr>
              <w:autoSpaceDE w:val="0"/>
              <w:autoSpaceDN w:val="0"/>
              <w:spacing w:line="240" w:lineRule="auto"/>
              <w:ind w:firstLine="480"/>
              <w:jc w:val="center"/>
              <w:rPr>
                <w:color w:val="auto"/>
              </w:rPr>
            </w:pPr>
          </w:p>
        </w:tc>
        <w:tc>
          <w:tcPr>
            <w:tcW w:w="3543"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（2）工程量计算公式</w:t>
            </w:r>
          </w:p>
        </w:tc>
        <w:tc>
          <w:tcPr>
            <w:tcW w:w="1481"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44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440"/>
              <w:jc w:val="center"/>
              <w:rPr>
                <w:rFonts w:ascii="仿宋" w:hAnsi="仿宋" w:cs="仿宋"/>
                <w:color w:val="auto"/>
                <w:sz w:val="22"/>
              </w:rPr>
            </w:pPr>
          </w:p>
        </w:tc>
        <w:tc>
          <w:tcPr>
            <w:tcW w:w="3543"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（3）工程量计算结果</w:t>
            </w:r>
          </w:p>
        </w:tc>
        <w:tc>
          <w:tcPr>
            <w:tcW w:w="1481"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44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440"/>
              <w:jc w:val="center"/>
              <w:rPr>
                <w:rFonts w:ascii="仿宋" w:hAnsi="仿宋" w:cs="仿宋"/>
                <w:color w:val="auto"/>
                <w:sz w:val="22"/>
              </w:rPr>
            </w:pPr>
          </w:p>
        </w:tc>
        <w:tc>
          <w:tcPr>
            <w:tcW w:w="3543"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（4）单位与数据正确</w:t>
            </w:r>
          </w:p>
        </w:tc>
        <w:tc>
          <w:tcPr>
            <w:tcW w:w="1481"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44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440"/>
              <w:jc w:val="center"/>
              <w:rPr>
                <w:rFonts w:ascii="仿宋" w:hAnsi="仿宋" w:cs="仿宋"/>
                <w:color w:val="auto"/>
                <w:sz w:val="22"/>
              </w:rPr>
            </w:pPr>
          </w:p>
        </w:tc>
        <w:tc>
          <w:tcPr>
            <w:tcW w:w="3543"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（5）软件操作</w:t>
            </w:r>
          </w:p>
        </w:tc>
        <w:tc>
          <w:tcPr>
            <w:tcW w:w="1481"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restart"/>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4.材料分析表</w:t>
            </w:r>
          </w:p>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40%</w:t>
            </w:r>
          </w:p>
        </w:tc>
        <w:tc>
          <w:tcPr>
            <w:tcW w:w="3543"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（1）表名、表头、表号、表尾</w:t>
            </w:r>
          </w:p>
        </w:tc>
        <w:tc>
          <w:tcPr>
            <w:tcW w:w="1481"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（2）材料用量计算公式</w:t>
            </w:r>
          </w:p>
        </w:tc>
        <w:tc>
          <w:tcPr>
            <w:tcW w:w="1481"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（3）材料计算结果</w:t>
            </w:r>
          </w:p>
        </w:tc>
        <w:tc>
          <w:tcPr>
            <w:tcW w:w="1481"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（4）单位与数据正确</w:t>
            </w:r>
          </w:p>
        </w:tc>
        <w:tc>
          <w:tcPr>
            <w:tcW w:w="1481"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（5）软件操作</w:t>
            </w:r>
          </w:p>
        </w:tc>
        <w:tc>
          <w:tcPr>
            <w:tcW w:w="1481"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（6）供料二级分析</w:t>
            </w:r>
          </w:p>
        </w:tc>
        <w:tc>
          <w:tcPr>
            <w:tcW w:w="1481"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restart"/>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5.材料费用计算表</w:t>
            </w:r>
          </w:p>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20%</w:t>
            </w:r>
          </w:p>
        </w:tc>
        <w:tc>
          <w:tcPr>
            <w:tcW w:w="3543"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（1）表名、表头、表号、表尾</w:t>
            </w:r>
          </w:p>
        </w:tc>
        <w:tc>
          <w:tcPr>
            <w:tcW w:w="1481"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（2）材料费用计算公式</w:t>
            </w:r>
          </w:p>
        </w:tc>
        <w:tc>
          <w:tcPr>
            <w:tcW w:w="1481"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（3）费用计算结果</w:t>
            </w:r>
          </w:p>
        </w:tc>
        <w:tc>
          <w:tcPr>
            <w:tcW w:w="1481"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（4）单位与数据正确</w:t>
            </w:r>
          </w:p>
        </w:tc>
        <w:tc>
          <w:tcPr>
            <w:tcW w:w="1481" w:type="dxa"/>
            <w:vAlign w:val="center"/>
          </w:tcPr>
          <w:p>
            <w:pPr>
              <w:autoSpaceDE w:val="0"/>
              <w:autoSpaceDN w:val="0"/>
              <w:spacing w:line="240" w:lineRule="auto"/>
              <w:ind w:firstLine="0" w:firstLineChars="0"/>
              <w:rPr>
                <w:rFonts w:ascii="仿宋" w:hAnsi="仿宋" w:cs="仿宋"/>
                <w:color w:val="auto"/>
                <w:sz w:val="22"/>
              </w:rPr>
            </w:pPr>
            <w:r>
              <w:rPr>
                <w:rFonts w:hint="eastAsia" w:ascii="仿宋" w:hAnsi="仿宋" w:cs="仿宋"/>
                <w:color w:val="auto"/>
                <w:sz w:val="22"/>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restart"/>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三、施工操作</w:t>
            </w:r>
          </w:p>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（45%）</w:t>
            </w:r>
          </w:p>
        </w:tc>
        <w:tc>
          <w:tcPr>
            <w:tcW w:w="1518" w:type="dxa"/>
            <w:vMerge w:val="restart"/>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1.施工过程</w:t>
            </w:r>
          </w:p>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（17%）</w:t>
            </w: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（1）检查找补，基层清理与湿润</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（2）弹线</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（3）浸泡胶粘剂、浸泡釉面砖、釉面砖错排沥水</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（4）根据设计试排砖</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（5）根据要求加工</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（6）架设铺贴支托、铺贴及过程自检</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（7）清缝填缝</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4"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restart"/>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2.瓷砖墙面施工（25%）</w:t>
            </w: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w:t>
            </w:r>
            <w:r>
              <w:rPr>
                <w:rFonts w:hint="eastAsia" w:ascii="仿宋" w:hAnsi="仿宋" w:cs="仿宋"/>
                <w:color w:val="auto"/>
                <w:sz w:val="22"/>
                <w:lang w:val="zh-CN"/>
              </w:rPr>
              <w:t>砖的排列</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（2）壁龛施工</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w:t>
            </w:r>
            <w:r>
              <w:rPr>
                <w:rFonts w:hint="eastAsia" w:ascii="仿宋" w:hAnsi="仿宋" w:cs="仿宋"/>
                <w:color w:val="auto"/>
                <w:sz w:val="22"/>
                <w:lang w:val="zh-CN"/>
              </w:rPr>
              <w:t>瓷砖套割、阳角切割</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w:t>
            </w:r>
            <w:r>
              <w:rPr>
                <w:rFonts w:hint="eastAsia" w:ascii="仿宋" w:hAnsi="仿宋" w:cs="仿宋"/>
                <w:color w:val="auto"/>
                <w:sz w:val="22"/>
                <w:lang w:val="zh-CN"/>
              </w:rPr>
              <w:t>尺寸正确</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（5）</w:t>
            </w:r>
            <w:r>
              <w:rPr>
                <w:rFonts w:hint="eastAsia" w:ascii="仿宋" w:hAnsi="仿宋" w:cs="仿宋"/>
                <w:color w:val="auto"/>
                <w:sz w:val="22"/>
                <w:lang w:val="zh-CN"/>
              </w:rPr>
              <w:t>立面垂直度、表面平整度、阴阳角方正</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（6）</w:t>
            </w:r>
            <w:r>
              <w:rPr>
                <w:rFonts w:hint="eastAsia" w:ascii="仿宋" w:hAnsi="仿宋" w:cs="仿宋"/>
                <w:color w:val="auto"/>
                <w:sz w:val="22"/>
                <w:lang w:val="zh-CN"/>
              </w:rPr>
              <w:t>接缝直线度、宽度、高低差</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（7）</w:t>
            </w:r>
            <w:r>
              <w:rPr>
                <w:rFonts w:hint="eastAsia" w:ascii="仿宋" w:hAnsi="仿宋" w:cs="仿宋"/>
                <w:color w:val="auto"/>
                <w:sz w:val="22"/>
                <w:lang w:val="zh-CN"/>
              </w:rPr>
              <w:t>接缝、勾缝、瓷砖粘结</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restart"/>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3.轻钢龙骨施工（25%）</w:t>
            </w: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w:t>
            </w:r>
            <w:r>
              <w:rPr>
                <w:rFonts w:hint="eastAsia" w:ascii="仿宋" w:hAnsi="仿宋" w:cs="仿宋"/>
                <w:color w:val="auto"/>
                <w:sz w:val="22"/>
                <w:lang w:val="zh-CN"/>
              </w:rPr>
              <w:t>龙骨安装符合要求</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w:t>
            </w:r>
            <w:r>
              <w:rPr>
                <w:rFonts w:hint="eastAsia" w:ascii="仿宋" w:hAnsi="仿宋" w:cs="仿宋"/>
                <w:color w:val="auto"/>
                <w:sz w:val="22"/>
                <w:lang w:val="zh-CN"/>
              </w:rPr>
              <w:t>面板安装</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w:t>
            </w:r>
            <w:r>
              <w:rPr>
                <w:rFonts w:hint="eastAsia" w:ascii="仿宋" w:hAnsi="仿宋" w:cs="仿宋"/>
                <w:color w:val="auto"/>
                <w:sz w:val="22"/>
                <w:lang w:val="zh-CN"/>
              </w:rPr>
              <w:t>尺寸正确</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w:t>
            </w:r>
            <w:r>
              <w:rPr>
                <w:rFonts w:hint="eastAsia" w:ascii="仿宋" w:hAnsi="仿宋" w:cs="仿宋"/>
                <w:color w:val="auto"/>
                <w:sz w:val="22"/>
                <w:lang w:val="zh-CN"/>
              </w:rPr>
              <w:t>立面垂直度、表面平整度、阴阳角方正</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（5）</w:t>
            </w:r>
            <w:r>
              <w:rPr>
                <w:rFonts w:hint="eastAsia" w:ascii="仿宋" w:hAnsi="仿宋" w:cs="仿宋"/>
                <w:color w:val="auto"/>
                <w:sz w:val="22"/>
                <w:lang w:val="zh-CN"/>
              </w:rPr>
              <w:t>接缝直线度、宽度、高低差</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（6）</w:t>
            </w:r>
            <w:r>
              <w:rPr>
                <w:rFonts w:hint="eastAsia" w:ascii="仿宋" w:hAnsi="仿宋" w:cs="仿宋"/>
                <w:color w:val="auto"/>
                <w:sz w:val="22"/>
                <w:lang w:val="zh-CN"/>
              </w:rPr>
              <w:t>开关设备</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289"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（7）门窗洞口</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restart"/>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4.抹灰施工</w:t>
            </w:r>
          </w:p>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（33%）</w:t>
            </w: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（1）检查找补，基层清理与湿润</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（2）弹线</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（3）测量、灰饼、冲筋</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（4）分层抹灰</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419" w:hRule="atLeast"/>
          <w:jc w:val="center"/>
        </w:trPr>
        <w:tc>
          <w:tcPr>
            <w:tcW w:w="1723" w:type="dxa"/>
            <w:vMerge w:val="restart"/>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四、职业素养</w:t>
            </w:r>
          </w:p>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（5%）</w:t>
            </w:r>
          </w:p>
        </w:tc>
        <w:tc>
          <w:tcPr>
            <w:tcW w:w="5061" w:type="dxa"/>
            <w:gridSpan w:val="2"/>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1.正确着装和使用劳保用品</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419"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5061" w:type="dxa"/>
            <w:gridSpan w:val="2"/>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2.隔墙应采取保护措施</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419"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5061" w:type="dxa"/>
            <w:gridSpan w:val="2"/>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3.安全文明操作、</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419"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5061" w:type="dxa"/>
            <w:gridSpan w:val="2"/>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4.绿色施工</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419"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5061" w:type="dxa"/>
            <w:gridSpan w:val="2"/>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5.工完后料净</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15%</w:t>
            </w:r>
          </w:p>
        </w:tc>
      </w:tr>
    </w:tbl>
    <w:p>
      <w:pPr>
        <w:autoSpaceDE w:val="0"/>
        <w:autoSpaceDN w:val="0"/>
        <w:ind w:firstLine="480"/>
        <w:rPr>
          <w:rFonts w:hint="eastAsia" w:ascii="仿宋" w:hAnsi="仿宋" w:cs="仿宋"/>
          <w:color w:val="auto"/>
          <w:kern w:val="0"/>
          <w:szCs w:val="24"/>
        </w:rPr>
      </w:pPr>
    </w:p>
    <w:p>
      <w:pPr>
        <w:autoSpaceDE w:val="0"/>
        <w:autoSpaceDN w:val="0"/>
        <w:ind w:firstLine="480"/>
        <w:rPr>
          <w:rFonts w:ascii="仿宋" w:hAnsi="仿宋" w:cs="仿宋"/>
          <w:b/>
          <w:color w:val="auto"/>
          <w:kern w:val="0"/>
          <w:szCs w:val="24"/>
        </w:rPr>
      </w:pPr>
      <w:r>
        <w:rPr>
          <w:rFonts w:hint="eastAsia" w:ascii="仿宋" w:hAnsi="仿宋" w:cs="仿宋"/>
          <w:color w:val="auto"/>
          <w:kern w:val="0"/>
          <w:szCs w:val="24"/>
        </w:rPr>
        <w:t>2、</w:t>
      </w:r>
      <w:r>
        <w:rPr>
          <w:rFonts w:hint="eastAsia" w:ascii="仿宋" w:hAnsi="仿宋" w:cs="仿宋"/>
          <w:b/>
          <w:color w:val="auto"/>
          <w:kern w:val="0"/>
          <w:szCs w:val="24"/>
        </w:rPr>
        <w:t>教师组：</w:t>
      </w:r>
    </w:p>
    <w:p>
      <w:pPr>
        <w:autoSpaceDE w:val="0"/>
        <w:autoSpaceDN w:val="0"/>
        <w:ind w:firstLine="480"/>
        <w:jc w:val="center"/>
        <w:rPr>
          <w:rFonts w:ascii="仿宋" w:hAnsi="仿宋" w:cs="仿宋"/>
          <w:bCs/>
          <w:color w:val="auto"/>
          <w:kern w:val="0"/>
          <w:szCs w:val="24"/>
        </w:rPr>
      </w:pPr>
      <w:r>
        <w:rPr>
          <w:rFonts w:hint="eastAsia" w:ascii="仿宋" w:hAnsi="仿宋" w:cs="仿宋"/>
          <w:bCs/>
          <w:color w:val="auto"/>
          <w:kern w:val="0"/>
          <w:szCs w:val="24"/>
        </w:rPr>
        <w:t>表14 教师组评分标准</w:t>
      </w:r>
    </w:p>
    <w:tbl>
      <w:tblPr>
        <w:tblStyle w:val="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 w:type="dxa"/>
          <w:bottom w:w="0" w:type="dxa"/>
          <w:right w:w="10" w:type="dxa"/>
        </w:tblCellMar>
      </w:tblPr>
      <w:tblGrid>
        <w:gridCol w:w="1723"/>
        <w:gridCol w:w="1518"/>
        <w:gridCol w:w="3543"/>
        <w:gridCol w:w="14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77" w:hRule="exact"/>
          <w:jc w:val="center"/>
        </w:trPr>
        <w:tc>
          <w:tcPr>
            <w:tcW w:w="1723" w:type="dxa"/>
            <w:tcBorders>
              <w:top w:val="single" w:color="auto" w:sz="8" w:space="0"/>
              <w:bottom w:val="single" w:color="auto" w:sz="8" w:space="0"/>
            </w:tcBorders>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任务（或模块）</w:t>
            </w:r>
          </w:p>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(一级指标)</w:t>
            </w:r>
          </w:p>
        </w:tc>
        <w:tc>
          <w:tcPr>
            <w:tcW w:w="1518" w:type="dxa"/>
            <w:tcBorders>
              <w:top w:val="single" w:color="auto" w:sz="8" w:space="0"/>
              <w:bottom w:val="single" w:color="auto" w:sz="8" w:space="0"/>
            </w:tcBorders>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任务组成</w:t>
            </w:r>
          </w:p>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(二级指标)</w:t>
            </w:r>
          </w:p>
        </w:tc>
        <w:tc>
          <w:tcPr>
            <w:tcW w:w="3543" w:type="dxa"/>
            <w:tcBorders>
              <w:top w:val="single" w:color="auto" w:sz="8" w:space="0"/>
              <w:bottom w:val="single" w:color="auto" w:sz="8" w:space="0"/>
            </w:tcBorders>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技能点、知识点或难易度</w:t>
            </w:r>
          </w:p>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（三级指标）</w:t>
            </w:r>
          </w:p>
        </w:tc>
        <w:tc>
          <w:tcPr>
            <w:tcW w:w="1481" w:type="dxa"/>
            <w:tcBorders>
              <w:top w:val="single" w:color="auto" w:sz="8" w:space="0"/>
              <w:bottom w:val="single" w:color="auto" w:sz="8" w:space="0"/>
            </w:tcBorders>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比例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restart"/>
            <w:tcBorders>
              <w:top w:val="single" w:color="auto" w:sz="8" w:space="0"/>
            </w:tcBorders>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一、建筑装饰施工图设计（含瓷砖墙面设计和轻钢龙骨隔墙设计）</w:t>
            </w:r>
          </w:p>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（30%）</w:t>
            </w:r>
          </w:p>
        </w:tc>
        <w:tc>
          <w:tcPr>
            <w:tcW w:w="1518" w:type="dxa"/>
            <w:vMerge w:val="restart"/>
            <w:tcBorders>
              <w:top w:val="single" w:color="auto" w:sz="8" w:space="0"/>
            </w:tcBorders>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1.方案设计与施工设计说明</w:t>
            </w:r>
          </w:p>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（30%）</w:t>
            </w:r>
          </w:p>
        </w:tc>
        <w:tc>
          <w:tcPr>
            <w:tcW w:w="3543" w:type="dxa"/>
            <w:tcBorders>
              <w:top w:val="single" w:color="auto" w:sz="8" w:space="0"/>
              <w:bottom w:val="single" w:color="auto" w:sz="2" w:space="0"/>
              <w:right w:val="single" w:color="auto" w:sz="2" w:space="0"/>
            </w:tcBorders>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（1）设计的基本原理</w:t>
            </w:r>
          </w:p>
        </w:tc>
        <w:tc>
          <w:tcPr>
            <w:tcW w:w="1481" w:type="dxa"/>
            <w:tcBorders>
              <w:top w:val="single" w:color="auto" w:sz="8" w:space="0"/>
              <w:left w:val="single" w:color="auto" w:sz="2" w:space="0"/>
              <w:bottom w:val="single" w:color="auto" w:sz="2" w:space="0"/>
            </w:tcBorders>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Borders>
              <w:top w:val="single" w:color="auto" w:sz="2" w:space="0"/>
              <w:bottom w:val="single" w:color="auto" w:sz="2" w:space="0"/>
              <w:right w:val="single" w:color="auto" w:sz="2" w:space="0"/>
            </w:tcBorders>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（2）方案构成影响因素</w:t>
            </w:r>
          </w:p>
        </w:tc>
        <w:tc>
          <w:tcPr>
            <w:tcW w:w="1481" w:type="dxa"/>
            <w:tcBorders>
              <w:top w:val="single" w:color="auto" w:sz="2" w:space="0"/>
              <w:left w:val="single" w:color="auto" w:sz="2" w:space="0"/>
              <w:bottom w:val="single" w:color="auto" w:sz="2" w:space="0"/>
            </w:tcBorders>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Borders>
              <w:top w:val="single" w:color="auto" w:sz="2" w:space="0"/>
              <w:bottom w:val="single" w:color="auto" w:sz="4" w:space="0"/>
              <w:right w:val="single" w:color="auto" w:sz="2" w:space="0"/>
            </w:tcBorders>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（3）封面设计</w:t>
            </w:r>
          </w:p>
        </w:tc>
        <w:tc>
          <w:tcPr>
            <w:tcW w:w="1481" w:type="dxa"/>
            <w:tcBorders>
              <w:top w:val="single" w:color="auto" w:sz="2" w:space="0"/>
              <w:left w:val="single" w:color="auto" w:sz="2" w:space="0"/>
              <w:bottom w:val="single" w:color="auto" w:sz="4" w:space="0"/>
            </w:tcBorders>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Borders>
              <w:top w:val="single" w:color="auto" w:sz="4" w:space="0"/>
            </w:tcBorders>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（4）编制施工设计说明</w:t>
            </w:r>
          </w:p>
        </w:tc>
        <w:tc>
          <w:tcPr>
            <w:tcW w:w="1481" w:type="dxa"/>
            <w:tcBorders>
              <w:top w:val="single" w:color="auto" w:sz="4" w:space="0"/>
            </w:tcBorders>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（5）编制材料表</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restart"/>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2.建筑装饰平面图绘制</w:t>
            </w:r>
          </w:p>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（15%）</w:t>
            </w: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（1）制图的基础知识</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（2）建筑装饰平面图的知识</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（3）材料的知识</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（4）绘图的基本要求</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（5）软件操作</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restart"/>
            <w:vAlign w:val="center"/>
          </w:tcPr>
          <w:p>
            <w:pPr>
              <w:autoSpaceDE w:val="0"/>
              <w:autoSpaceDN w:val="0"/>
              <w:spacing w:line="240" w:lineRule="auto"/>
              <w:ind w:firstLine="0" w:firstLineChars="0"/>
              <w:jc w:val="left"/>
              <w:rPr>
                <w:rFonts w:hint="eastAsia" w:ascii="仿宋" w:hAnsi="仿宋" w:cs="仿宋"/>
                <w:color w:val="auto"/>
                <w:sz w:val="22"/>
              </w:rPr>
            </w:pPr>
            <w:r>
              <w:rPr>
                <w:rFonts w:hint="eastAsia" w:ascii="仿宋" w:hAnsi="仿宋" w:cs="仿宋"/>
                <w:color w:val="auto"/>
                <w:sz w:val="22"/>
              </w:rPr>
              <w:t>3.建筑装饰立面图绘制</w:t>
            </w:r>
          </w:p>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（30%）</w:t>
            </w: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（1）制图的基础知识</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（2）建筑装饰平面图的知识</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（3）建筑平面图知识</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（4）材料的知识</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（5）绘图的基本要求</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（6）软件操作</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restart"/>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4.节点大样图及剖切图绘制（25%）</w:t>
            </w: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（1）制图的基础知识</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（2）构造的知识</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（3）材料的知识</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（4）绘图的基本要求</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9"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（5）软件操作</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77" w:hRule="atLeast"/>
          <w:jc w:val="center"/>
        </w:trPr>
        <w:tc>
          <w:tcPr>
            <w:tcW w:w="1723" w:type="dxa"/>
            <w:vMerge w:val="restart"/>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二、材料测算</w:t>
            </w:r>
          </w:p>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c>
          <w:tcPr>
            <w:tcW w:w="1518" w:type="dxa"/>
            <w:vMerge w:val="restart"/>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1.封面</w:t>
            </w:r>
          </w:p>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（5%）</w:t>
            </w: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（1）图幅知识</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77"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（2）封面设计</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77"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（3）字体</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77"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（4）布局</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77"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（5）软件操作</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22"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restart"/>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2.编制说明</w:t>
            </w:r>
          </w:p>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（15%）</w:t>
            </w: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（1）工程概况</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22" w:hRule="atLeast"/>
          <w:jc w:val="center"/>
        </w:trPr>
        <w:tc>
          <w:tcPr>
            <w:tcW w:w="1723" w:type="dxa"/>
            <w:vMerge w:val="continue"/>
            <w:vAlign w:val="center"/>
          </w:tcPr>
          <w:p>
            <w:pPr>
              <w:autoSpaceDE w:val="0"/>
              <w:autoSpaceDN w:val="0"/>
              <w:spacing w:line="240" w:lineRule="auto"/>
              <w:ind w:firstLine="480"/>
              <w:jc w:val="center"/>
              <w:rPr>
                <w:color w:val="auto"/>
              </w:rPr>
            </w:pPr>
          </w:p>
        </w:tc>
        <w:tc>
          <w:tcPr>
            <w:tcW w:w="1518" w:type="dxa"/>
            <w:vMerge w:val="continue"/>
            <w:vAlign w:val="center"/>
          </w:tcPr>
          <w:p>
            <w:pPr>
              <w:autoSpaceDE w:val="0"/>
              <w:autoSpaceDN w:val="0"/>
              <w:spacing w:line="240" w:lineRule="auto"/>
              <w:ind w:firstLine="480"/>
              <w:jc w:val="center"/>
              <w:rPr>
                <w:color w:val="auto"/>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（2）编制依据和说明</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22" w:hRule="atLeast"/>
          <w:jc w:val="center"/>
        </w:trPr>
        <w:tc>
          <w:tcPr>
            <w:tcW w:w="1723" w:type="dxa"/>
            <w:vMerge w:val="continue"/>
            <w:vAlign w:val="center"/>
          </w:tcPr>
          <w:p>
            <w:pPr>
              <w:autoSpaceDE w:val="0"/>
              <w:autoSpaceDN w:val="0"/>
              <w:spacing w:line="240" w:lineRule="auto"/>
              <w:ind w:firstLine="44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440"/>
              <w:jc w:val="center"/>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（3）影响测算因素</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22" w:hRule="atLeast"/>
          <w:jc w:val="center"/>
        </w:trPr>
        <w:tc>
          <w:tcPr>
            <w:tcW w:w="1723" w:type="dxa"/>
            <w:vMerge w:val="continue"/>
            <w:vAlign w:val="center"/>
          </w:tcPr>
          <w:p>
            <w:pPr>
              <w:autoSpaceDE w:val="0"/>
              <w:autoSpaceDN w:val="0"/>
              <w:spacing w:line="240" w:lineRule="auto"/>
              <w:ind w:firstLine="44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440"/>
              <w:jc w:val="center"/>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（4）技术要求</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22" w:hRule="atLeast"/>
          <w:jc w:val="center"/>
        </w:trPr>
        <w:tc>
          <w:tcPr>
            <w:tcW w:w="1723" w:type="dxa"/>
            <w:vMerge w:val="continue"/>
            <w:vAlign w:val="center"/>
          </w:tcPr>
          <w:p>
            <w:pPr>
              <w:autoSpaceDE w:val="0"/>
              <w:autoSpaceDN w:val="0"/>
              <w:spacing w:line="240" w:lineRule="auto"/>
              <w:ind w:firstLine="44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440"/>
              <w:jc w:val="center"/>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（5）软件操作</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85"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restart"/>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3.工程量计算书</w:t>
            </w:r>
          </w:p>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（20%）</w:t>
            </w: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（1）表名、表头、表号、表尾</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85" w:hRule="atLeast"/>
          <w:jc w:val="center"/>
        </w:trPr>
        <w:tc>
          <w:tcPr>
            <w:tcW w:w="1723" w:type="dxa"/>
            <w:vMerge w:val="continue"/>
            <w:vAlign w:val="center"/>
          </w:tcPr>
          <w:p>
            <w:pPr>
              <w:autoSpaceDE w:val="0"/>
              <w:autoSpaceDN w:val="0"/>
              <w:spacing w:line="240" w:lineRule="auto"/>
              <w:ind w:firstLine="480"/>
              <w:jc w:val="center"/>
              <w:rPr>
                <w:color w:val="auto"/>
              </w:rPr>
            </w:pPr>
          </w:p>
        </w:tc>
        <w:tc>
          <w:tcPr>
            <w:tcW w:w="1518" w:type="dxa"/>
            <w:vMerge w:val="continue"/>
            <w:vAlign w:val="center"/>
          </w:tcPr>
          <w:p>
            <w:pPr>
              <w:autoSpaceDE w:val="0"/>
              <w:autoSpaceDN w:val="0"/>
              <w:spacing w:line="240" w:lineRule="auto"/>
              <w:ind w:firstLine="480"/>
              <w:jc w:val="center"/>
              <w:rPr>
                <w:color w:val="auto"/>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（2）工程量计算公式</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85" w:hRule="atLeast"/>
          <w:jc w:val="center"/>
        </w:trPr>
        <w:tc>
          <w:tcPr>
            <w:tcW w:w="1723" w:type="dxa"/>
            <w:vMerge w:val="continue"/>
            <w:vAlign w:val="center"/>
          </w:tcPr>
          <w:p>
            <w:pPr>
              <w:autoSpaceDE w:val="0"/>
              <w:autoSpaceDN w:val="0"/>
              <w:spacing w:line="240" w:lineRule="auto"/>
              <w:ind w:firstLine="44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440"/>
              <w:jc w:val="center"/>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（3）工程量计算结果</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85" w:hRule="atLeast"/>
          <w:jc w:val="center"/>
        </w:trPr>
        <w:tc>
          <w:tcPr>
            <w:tcW w:w="1723" w:type="dxa"/>
            <w:vMerge w:val="continue"/>
            <w:vAlign w:val="center"/>
          </w:tcPr>
          <w:p>
            <w:pPr>
              <w:autoSpaceDE w:val="0"/>
              <w:autoSpaceDN w:val="0"/>
              <w:spacing w:line="240" w:lineRule="auto"/>
              <w:ind w:firstLine="44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440"/>
              <w:jc w:val="center"/>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（4）单位与数据正确</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185" w:hRule="atLeast"/>
          <w:jc w:val="center"/>
        </w:trPr>
        <w:tc>
          <w:tcPr>
            <w:tcW w:w="1723" w:type="dxa"/>
            <w:vMerge w:val="continue"/>
            <w:vAlign w:val="center"/>
          </w:tcPr>
          <w:p>
            <w:pPr>
              <w:autoSpaceDE w:val="0"/>
              <w:autoSpaceDN w:val="0"/>
              <w:spacing w:line="240" w:lineRule="auto"/>
              <w:ind w:firstLine="44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440"/>
              <w:jc w:val="center"/>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（5）软件操作</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77"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restart"/>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4.材料分析表</w:t>
            </w:r>
          </w:p>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（40%）</w:t>
            </w: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（1）表名、表头、表号、表尾</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77"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（2）材料用量计算公式</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77"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（3）材料计算结果</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77"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（4）单位与数据正确</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77"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（5）软件操作</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77"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（6）供料二级分析</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77"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restart"/>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5.材料费用计算表</w:t>
            </w:r>
          </w:p>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（20%）</w:t>
            </w: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（1）表名、表头、表号、表尾</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77"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（2）材料费用计算公式</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77"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（3）费用计算结果</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77"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（4）单位与数据正确</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restart"/>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三、施工操作</w:t>
            </w:r>
          </w:p>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（45%）</w:t>
            </w:r>
          </w:p>
        </w:tc>
        <w:tc>
          <w:tcPr>
            <w:tcW w:w="1518" w:type="dxa"/>
            <w:vMerge w:val="restart"/>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1.施工过程</w:t>
            </w:r>
          </w:p>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（25%）</w:t>
            </w: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（1）检查找补，基层清理与湿润</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（2）弹线</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（3）浸泡胶粘剂、浸泡釉面砖、釉面砖错排沥水</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（4）根据设计试排砖</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（5）根据要求加工</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（6）架设铺贴支托、铺贴及过程自检</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（7）清缝填缝</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14"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restart"/>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2.瓷砖墙面施工（38%）</w:t>
            </w: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w:t>
            </w:r>
            <w:r>
              <w:rPr>
                <w:rFonts w:hint="eastAsia" w:ascii="仿宋" w:hAnsi="仿宋" w:cs="仿宋"/>
                <w:color w:val="auto"/>
                <w:sz w:val="22"/>
                <w:lang w:val="zh-CN"/>
              </w:rPr>
              <w:t>砖的排列</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9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（2）壁龛施工</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w:t>
            </w:r>
            <w:r>
              <w:rPr>
                <w:rFonts w:hint="eastAsia" w:ascii="仿宋" w:hAnsi="仿宋" w:cs="仿宋"/>
                <w:color w:val="auto"/>
                <w:sz w:val="22"/>
                <w:lang w:val="zh-CN"/>
              </w:rPr>
              <w:t>瓷砖套割、阳角切割</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w:t>
            </w:r>
            <w:r>
              <w:rPr>
                <w:rFonts w:hint="eastAsia" w:ascii="仿宋" w:hAnsi="仿宋" w:cs="仿宋"/>
                <w:color w:val="auto"/>
                <w:sz w:val="22"/>
                <w:lang w:val="zh-CN"/>
              </w:rPr>
              <w:t>尺寸正确</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（5）</w:t>
            </w:r>
            <w:r>
              <w:rPr>
                <w:rFonts w:hint="eastAsia" w:ascii="仿宋" w:hAnsi="仿宋" w:cs="仿宋"/>
                <w:color w:val="auto"/>
                <w:sz w:val="22"/>
                <w:lang w:val="zh-CN"/>
              </w:rPr>
              <w:t>立面垂直度、表面平整度、阴阳角方正</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8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（6）</w:t>
            </w:r>
            <w:r>
              <w:rPr>
                <w:rFonts w:hint="eastAsia" w:ascii="仿宋" w:hAnsi="仿宋" w:cs="仿宋"/>
                <w:color w:val="auto"/>
                <w:sz w:val="22"/>
                <w:lang w:val="zh-CN"/>
              </w:rPr>
              <w:t>接缝直线度、宽度、高低差</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（7）</w:t>
            </w:r>
            <w:r>
              <w:rPr>
                <w:rFonts w:hint="eastAsia" w:ascii="仿宋" w:hAnsi="仿宋" w:cs="仿宋"/>
                <w:color w:val="auto"/>
                <w:sz w:val="22"/>
                <w:lang w:val="zh-CN"/>
              </w:rPr>
              <w:t>接缝、勾缝、瓷砖粘结</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restart"/>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3.轻钢龙骨施工（37%）</w:t>
            </w: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w:t>
            </w:r>
            <w:r>
              <w:rPr>
                <w:rFonts w:hint="eastAsia" w:ascii="仿宋" w:hAnsi="仿宋" w:cs="仿宋"/>
                <w:color w:val="auto"/>
                <w:sz w:val="22"/>
                <w:lang w:val="zh-CN"/>
              </w:rPr>
              <w:t>龙骨安装符合要求</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w:t>
            </w:r>
            <w:r>
              <w:rPr>
                <w:rFonts w:hint="eastAsia" w:ascii="仿宋" w:hAnsi="仿宋" w:cs="仿宋"/>
                <w:color w:val="auto"/>
                <w:sz w:val="22"/>
                <w:lang w:val="zh-CN"/>
              </w:rPr>
              <w:t>面板安装</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w:t>
            </w:r>
            <w:r>
              <w:rPr>
                <w:rFonts w:hint="eastAsia" w:ascii="仿宋" w:hAnsi="仿宋" w:cs="仿宋"/>
                <w:color w:val="auto"/>
                <w:sz w:val="22"/>
                <w:lang w:val="zh-CN"/>
              </w:rPr>
              <w:t>尺寸正确</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w:t>
            </w:r>
            <w:r>
              <w:rPr>
                <w:rFonts w:hint="eastAsia" w:ascii="仿宋" w:hAnsi="仿宋" w:cs="仿宋"/>
                <w:color w:val="auto"/>
                <w:sz w:val="22"/>
                <w:lang w:val="zh-CN"/>
              </w:rPr>
              <w:t>立面垂直度、表面平整度、阴阳角方正</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（5）</w:t>
            </w:r>
            <w:r>
              <w:rPr>
                <w:rFonts w:hint="eastAsia" w:ascii="仿宋" w:hAnsi="仿宋" w:cs="仿宋"/>
                <w:color w:val="auto"/>
                <w:sz w:val="22"/>
                <w:lang w:val="zh-CN"/>
              </w:rPr>
              <w:t>接缝直线度、宽度、高低差</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（6）</w:t>
            </w:r>
            <w:r>
              <w:rPr>
                <w:rFonts w:hint="eastAsia" w:ascii="仿宋" w:hAnsi="仿宋" w:cs="仿宋"/>
                <w:color w:val="auto"/>
                <w:sz w:val="22"/>
                <w:lang w:val="zh-CN"/>
              </w:rPr>
              <w:t>开关设备</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1518" w:type="dxa"/>
            <w:vMerge w:val="continue"/>
            <w:vAlign w:val="center"/>
          </w:tcPr>
          <w:p>
            <w:pPr>
              <w:autoSpaceDE w:val="0"/>
              <w:autoSpaceDN w:val="0"/>
              <w:spacing w:line="240" w:lineRule="auto"/>
              <w:ind w:firstLine="0" w:firstLineChars="0"/>
              <w:jc w:val="left"/>
              <w:rPr>
                <w:rFonts w:ascii="仿宋" w:hAnsi="仿宋" w:cs="仿宋"/>
                <w:color w:val="auto"/>
                <w:sz w:val="22"/>
              </w:rPr>
            </w:pPr>
          </w:p>
        </w:tc>
        <w:tc>
          <w:tcPr>
            <w:tcW w:w="3543" w:type="dxa"/>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（7）门窗洞口</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419" w:hRule="atLeast"/>
          <w:jc w:val="center"/>
        </w:trPr>
        <w:tc>
          <w:tcPr>
            <w:tcW w:w="1723" w:type="dxa"/>
            <w:vMerge w:val="restart"/>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四、职业素养</w:t>
            </w:r>
          </w:p>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（5%）</w:t>
            </w:r>
          </w:p>
        </w:tc>
        <w:tc>
          <w:tcPr>
            <w:tcW w:w="5061" w:type="dxa"/>
            <w:gridSpan w:val="2"/>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1.正确着装和使用劳保用品</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419"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5061" w:type="dxa"/>
            <w:gridSpan w:val="2"/>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2.隔墙应采取保护措施</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419"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5061" w:type="dxa"/>
            <w:gridSpan w:val="2"/>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3.安全文明操作、</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419"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5061" w:type="dxa"/>
            <w:gridSpan w:val="2"/>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4.绿色施工</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 w:type="dxa"/>
            <w:bottom w:w="0" w:type="dxa"/>
            <w:right w:w="10" w:type="dxa"/>
          </w:tblCellMar>
        </w:tblPrEx>
        <w:trPr>
          <w:trHeight w:val="419" w:hRule="atLeast"/>
          <w:jc w:val="center"/>
        </w:trPr>
        <w:tc>
          <w:tcPr>
            <w:tcW w:w="1723" w:type="dxa"/>
            <w:vMerge w:val="continue"/>
            <w:vAlign w:val="center"/>
          </w:tcPr>
          <w:p>
            <w:pPr>
              <w:autoSpaceDE w:val="0"/>
              <w:autoSpaceDN w:val="0"/>
              <w:spacing w:line="240" w:lineRule="auto"/>
              <w:ind w:firstLine="0" w:firstLineChars="0"/>
              <w:jc w:val="center"/>
              <w:rPr>
                <w:rFonts w:ascii="仿宋" w:hAnsi="仿宋" w:cs="仿宋"/>
                <w:color w:val="auto"/>
                <w:sz w:val="22"/>
              </w:rPr>
            </w:pPr>
          </w:p>
        </w:tc>
        <w:tc>
          <w:tcPr>
            <w:tcW w:w="5061" w:type="dxa"/>
            <w:gridSpan w:val="2"/>
            <w:vAlign w:val="center"/>
          </w:tcPr>
          <w:p>
            <w:pPr>
              <w:autoSpaceDE w:val="0"/>
              <w:autoSpaceDN w:val="0"/>
              <w:spacing w:line="240" w:lineRule="auto"/>
              <w:ind w:firstLine="0" w:firstLineChars="0"/>
              <w:jc w:val="left"/>
              <w:rPr>
                <w:rFonts w:ascii="仿宋" w:hAnsi="仿宋" w:cs="仿宋"/>
                <w:color w:val="auto"/>
                <w:sz w:val="22"/>
              </w:rPr>
            </w:pPr>
            <w:r>
              <w:rPr>
                <w:rFonts w:hint="eastAsia" w:ascii="仿宋" w:hAnsi="仿宋" w:cs="仿宋"/>
                <w:color w:val="auto"/>
                <w:sz w:val="22"/>
              </w:rPr>
              <w:t>5.工完后料净</w:t>
            </w:r>
          </w:p>
        </w:tc>
        <w:tc>
          <w:tcPr>
            <w:tcW w:w="1481" w:type="dxa"/>
            <w:vAlign w:val="center"/>
          </w:tcPr>
          <w:p>
            <w:pPr>
              <w:autoSpaceDE w:val="0"/>
              <w:autoSpaceDN w:val="0"/>
              <w:spacing w:line="240" w:lineRule="auto"/>
              <w:ind w:firstLine="0" w:firstLineChars="0"/>
              <w:jc w:val="center"/>
              <w:rPr>
                <w:rFonts w:ascii="仿宋" w:hAnsi="仿宋" w:cs="仿宋"/>
                <w:color w:val="auto"/>
                <w:sz w:val="22"/>
              </w:rPr>
            </w:pPr>
            <w:r>
              <w:rPr>
                <w:rFonts w:hint="eastAsia" w:ascii="仿宋" w:hAnsi="仿宋" w:cs="仿宋"/>
                <w:color w:val="auto"/>
                <w:sz w:val="22"/>
              </w:rPr>
              <w:t>15%</w:t>
            </w:r>
          </w:p>
        </w:tc>
      </w:tr>
    </w:tbl>
    <w:p>
      <w:pPr>
        <w:autoSpaceDE w:val="0"/>
        <w:autoSpaceDN w:val="0"/>
        <w:ind w:firstLine="482"/>
        <w:jc w:val="center"/>
        <w:outlineLvl w:val="1"/>
        <w:rPr>
          <w:rFonts w:ascii="仿宋" w:hAnsi="仿宋" w:cs="仿宋"/>
          <w:b/>
          <w:bCs/>
          <w:color w:val="auto"/>
          <w:kern w:val="0"/>
          <w:szCs w:val="24"/>
        </w:rPr>
      </w:pPr>
    </w:p>
    <w:p>
      <w:pPr>
        <w:spacing w:beforeLines="50"/>
        <w:ind w:firstLine="0" w:firstLineChars="0"/>
        <w:rPr>
          <w:rFonts w:ascii="仿宋" w:hAnsi="仿宋" w:cs="仿宋"/>
          <w:b/>
          <w:color w:val="auto"/>
          <w:szCs w:val="24"/>
        </w:rPr>
      </w:pPr>
      <w:r>
        <w:rPr>
          <w:rFonts w:hint="eastAsia" w:ascii="仿宋" w:hAnsi="仿宋" w:cs="仿宋"/>
          <w:b/>
          <w:color w:val="auto"/>
          <w:szCs w:val="24"/>
        </w:rPr>
        <w:t>十二、奖项设定</w:t>
      </w:r>
    </w:p>
    <w:p>
      <w:pPr>
        <w:ind w:firstLine="480"/>
        <w:rPr>
          <w:color w:val="auto"/>
        </w:rPr>
      </w:pPr>
      <w:r>
        <w:rPr>
          <w:rFonts w:hint="eastAsia"/>
          <w:color w:val="auto"/>
        </w:rPr>
        <w:t>（一）</w:t>
      </w:r>
      <w:r>
        <w:rPr>
          <w:color w:val="auto"/>
        </w:rPr>
        <w:t>参赛选手奖</w:t>
      </w:r>
    </w:p>
    <w:p>
      <w:pPr>
        <w:ind w:firstLine="480"/>
        <w:rPr>
          <w:rFonts w:cs="Times New Roman"/>
          <w:color w:val="auto"/>
        </w:rPr>
      </w:pPr>
      <w:r>
        <w:rPr>
          <w:rFonts w:cs="Times New Roman"/>
          <w:color w:val="auto"/>
        </w:rPr>
        <w:t>根据竞赛成绩，从高到低排序，个人赛按参赛人数、团体赛按参赛队的数量，其中10%设一等奖，20%设二等奖，30%设三等奖。</w:t>
      </w:r>
    </w:p>
    <w:p>
      <w:pPr>
        <w:ind w:firstLine="480"/>
        <w:rPr>
          <w:color w:val="auto"/>
        </w:rPr>
      </w:pPr>
      <w:r>
        <w:rPr>
          <w:rFonts w:hint="eastAsia"/>
          <w:color w:val="auto"/>
        </w:rPr>
        <w:t>（二）</w:t>
      </w:r>
      <w:r>
        <w:rPr>
          <w:color w:val="auto"/>
        </w:rPr>
        <w:t>指导教师奖</w:t>
      </w:r>
    </w:p>
    <w:p>
      <w:pPr>
        <w:ind w:firstLine="480"/>
        <w:rPr>
          <w:rFonts w:cs="Times New Roman"/>
          <w:color w:val="auto"/>
          <w:szCs w:val="24"/>
        </w:rPr>
      </w:pPr>
      <w:r>
        <w:rPr>
          <w:rFonts w:cs="Times New Roman"/>
          <w:color w:val="auto"/>
          <w:szCs w:val="24"/>
        </w:rPr>
        <w:t>对获得一、二、三等奖选手的指导教师颁发</w:t>
      </w:r>
      <w:r>
        <w:rPr>
          <w:rFonts w:hint="eastAsia" w:cs="Times New Roman"/>
          <w:color w:val="auto"/>
          <w:szCs w:val="24"/>
        </w:rPr>
        <w:t>指导教师</w:t>
      </w:r>
      <w:r>
        <w:rPr>
          <w:rFonts w:cs="Times New Roman"/>
          <w:color w:val="auto"/>
          <w:szCs w:val="24"/>
        </w:rPr>
        <w:t>奖。</w:t>
      </w:r>
    </w:p>
    <w:p>
      <w:pPr>
        <w:spacing w:beforeLines="50"/>
        <w:ind w:firstLine="0" w:firstLineChars="0"/>
        <w:rPr>
          <w:rFonts w:ascii="仿宋" w:hAnsi="仿宋" w:cs="仿宋"/>
          <w:b/>
          <w:color w:val="auto"/>
          <w:szCs w:val="24"/>
        </w:rPr>
      </w:pPr>
      <w:r>
        <w:rPr>
          <w:rFonts w:hint="eastAsia" w:ascii="仿宋" w:hAnsi="仿宋" w:cs="仿宋"/>
          <w:b/>
          <w:color w:val="auto"/>
          <w:szCs w:val="24"/>
        </w:rPr>
        <w:t>十三、赛场预案</w:t>
      </w:r>
    </w:p>
    <w:p>
      <w:pPr>
        <w:ind w:firstLine="480"/>
        <w:rPr>
          <w:color w:val="auto"/>
        </w:rPr>
      </w:pPr>
      <w:r>
        <w:rPr>
          <w:color w:val="auto"/>
        </w:rPr>
        <w:t>赛前成立由巡视员、专家组长、裁判长、监督组长、仲裁组长</w:t>
      </w:r>
      <w:r>
        <w:rPr>
          <w:rFonts w:hint="eastAsia"/>
          <w:color w:val="auto"/>
        </w:rPr>
        <w:t>、承办校领导等</w:t>
      </w:r>
      <w:r>
        <w:rPr>
          <w:color w:val="auto"/>
        </w:rPr>
        <w:t>相关人员组成的应急处理小组，比赛期间发生任何意外事故（如赛</w:t>
      </w:r>
      <w:r>
        <w:rPr>
          <w:rFonts w:hint="eastAsia"/>
          <w:color w:val="auto"/>
        </w:rPr>
        <w:t>卷</w:t>
      </w:r>
      <w:r>
        <w:rPr>
          <w:color w:val="auto"/>
        </w:rPr>
        <w:t>、设备、安全等），发现者应第一时间报告</w:t>
      </w:r>
      <w:r>
        <w:rPr>
          <w:rFonts w:hint="eastAsia"/>
          <w:color w:val="auto"/>
        </w:rPr>
        <w:t>专</w:t>
      </w:r>
      <w:r>
        <w:rPr>
          <w:color w:val="auto"/>
        </w:rPr>
        <w:t>家组长，立即采取措施避免事态扩大，启动应急预案予以解决并报告大赛</w:t>
      </w:r>
      <w:r>
        <w:rPr>
          <w:rFonts w:hint="eastAsia"/>
          <w:color w:val="auto"/>
        </w:rPr>
        <w:t>组委会</w:t>
      </w:r>
      <w:r>
        <w:rPr>
          <w:color w:val="auto"/>
        </w:rPr>
        <w:t>。赛项出现重大安全问题可以停赛，是否停赛由赛项</w:t>
      </w:r>
      <w:r>
        <w:rPr>
          <w:rFonts w:hint="eastAsia"/>
          <w:color w:val="auto"/>
        </w:rPr>
        <w:t>组委会</w:t>
      </w:r>
      <w:r>
        <w:rPr>
          <w:color w:val="auto"/>
        </w:rPr>
        <w:t>决定。事后，应向大赛</w:t>
      </w:r>
      <w:r>
        <w:rPr>
          <w:rFonts w:hint="eastAsia"/>
          <w:color w:val="auto"/>
        </w:rPr>
        <w:t>组委会</w:t>
      </w:r>
      <w:r>
        <w:rPr>
          <w:color w:val="auto"/>
        </w:rPr>
        <w:t>报告详细情况。</w:t>
      </w:r>
    </w:p>
    <w:p>
      <w:pPr>
        <w:ind w:firstLine="482"/>
        <w:rPr>
          <w:b/>
          <w:bCs/>
          <w:color w:val="auto"/>
        </w:rPr>
      </w:pPr>
      <w:r>
        <w:rPr>
          <w:rFonts w:hint="eastAsia"/>
          <w:b/>
          <w:bCs/>
          <w:color w:val="auto"/>
        </w:rPr>
        <w:t>（一）医疗及安全事故预案</w:t>
      </w:r>
    </w:p>
    <w:p>
      <w:pPr>
        <w:ind w:firstLine="480"/>
        <w:rPr>
          <w:color w:val="auto"/>
        </w:rPr>
      </w:pPr>
      <w:r>
        <w:rPr>
          <w:rFonts w:hint="eastAsia"/>
          <w:color w:val="auto"/>
        </w:rPr>
        <w:t>1.现场布置急救设施（如：120急救车和供电车场馆外等候等）。</w:t>
      </w:r>
    </w:p>
    <w:p>
      <w:pPr>
        <w:ind w:firstLine="480"/>
        <w:rPr>
          <w:color w:val="auto"/>
        </w:rPr>
      </w:pPr>
      <w:r>
        <w:rPr>
          <w:rFonts w:hint="eastAsia"/>
          <w:color w:val="auto"/>
        </w:rPr>
        <w:t>2.赛场内设置医疗救护区（如：竞赛期间，安排医生随时处理突发的医疗事故）。</w:t>
      </w:r>
    </w:p>
    <w:p>
      <w:pPr>
        <w:ind w:firstLine="480"/>
        <w:rPr>
          <w:color w:val="auto"/>
        </w:rPr>
      </w:pPr>
      <w:r>
        <w:rPr>
          <w:rFonts w:hint="eastAsia"/>
          <w:color w:val="auto"/>
        </w:rPr>
        <w:t>3.竞赛期间偶发大规模意外事件，立即启动《偶发大规模意外事件处理应急预案》（采取中止比赛、快速疏散人群等措施避免事态扩大，并第一时间报告赛区执委会，及时做好现场保护和人员抢救工作，防止事态扩大）。</w:t>
      </w:r>
    </w:p>
    <w:p>
      <w:pPr>
        <w:ind w:firstLine="482"/>
        <w:rPr>
          <w:b/>
          <w:bCs/>
          <w:color w:val="auto"/>
        </w:rPr>
      </w:pPr>
      <w:r>
        <w:rPr>
          <w:rFonts w:hint="eastAsia"/>
          <w:b/>
          <w:bCs/>
          <w:color w:val="auto"/>
        </w:rPr>
        <w:t>（二）水电事件应急预案</w:t>
      </w:r>
    </w:p>
    <w:p>
      <w:pPr>
        <w:ind w:firstLine="480"/>
        <w:rPr>
          <w:color w:val="auto"/>
        </w:rPr>
      </w:pPr>
      <w:r>
        <w:rPr>
          <w:rFonts w:hint="eastAsia"/>
          <w:color w:val="auto"/>
        </w:rPr>
        <w:t>制订责任到人的事件处理小组，竞赛时现场值守，突发水、电供给不良时及时响应，维持秩序的同时，调配专业的人员，及时查明原因、排除故障。（如现场配置水桶、应急发电车值守等）。</w:t>
      </w:r>
    </w:p>
    <w:p>
      <w:pPr>
        <w:ind w:firstLine="482"/>
        <w:rPr>
          <w:b/>
          <w:bCs/>
          <w:color w:val="auto"/>
        </w:rPr>
      </w:pPr>
      <w:r>
        <w:rPr>
          <w:rFonts w:hint="eastAsia"/>
          <w:b/>
          <w:bCs/>
          <w:color w:val="auto"/>
        </w:rPr>
        <w:t>（三）火灾事件应急预案</w:t>
      </w:r>
    </w:p>
    <w:p>
      <w:pPr>
        <w:ind w:firstLine="480"/>
        <w:rPr>
          <w:color w:val="auto"/>
        </w:rPr>
      </w:pPr>
      <w:r>
        <w:rPr>
          <w:rFonts w:hint="eastAsia"/>
          <w:color w:val="auto"/>
        </w:rPr>
        <w:t>制订责任到人的事件处理小组，竞赛时现场值守。如发生火灾，及时组织人员疏散、切断电源，将易燃易爆物品及时转移到安全地段，同时组织人员使用适宜的灭火器材灭火。对轻伤人员有医疗人员进行处置，对重伤人员及时送往医院进行救治。</w:t>
      </w:r>
    </w:p>
    <w:p>
      <w:pPr>
        <w:ind w:firstLine="482"/>
        <w:rPr>
          <w:b/>
          <w:bCs/>
          <w:color w:val="auto"/>
        </w:rPr>
      </w:pPr>
      <w:r>
        <w:rPr>
          <w:rFonts w:hint="eastAsia"/>
          <w:b/>
          <w:bCs/>
          <w:color w:val="auto"/>
        </w:rPr>
        <w:t>（四）竞赛设备损坏应急预案</w:t>
      </w:r>
    </w:p>
    <w:p>
      <w:pPr>
        <w:ind w:firstLine="480"/>
        <w:rPr>
          <w:color w:val="auto"/>
        </w:rPr>
      </w:pPr>
      <w:r>
        <w:rPr>
          <w:rFonts w:hint="eastAsia"/>
          <w:color w:val="auto"/>
        </w:rPr>
        <w:t>制订责任到人的竞赛设备损坏应急处理小组，竞赛时现场值守。赛场每个工位由赛场工作人员或厂方技术人员负责，及时解决比赛中突发的设备故障，解决不了的，启用备用工位，保证竞赛正常进行。</w:t>
      </w:r>
    </w:p>
    <w:p>
      <w:pPr>
        <w:numPr>
          <w:ilvl w:val="0"/>
          <w:numId w:val="2"/>
        </w:numPr>
        <w:ind w:firstLine="482"/>
        <w:rPr>
          <w:b/>
          <w:bCs/>
          <w:color w:val="auto"/>
        </w:rPr>
      </w:pPr>
      <w:r>
        <w:rPr>
          <w:rFonts w:hint="eastAsia"/>
          <w:b/>
          <w:bCs/>
          <w:color w:val="auto"/>
        </w:rPr>
        <w:t>赛卷应急预案</w:t>
      </w:r>
    </w:p>
    <w:p>
      <w:pPr>
        <w:ind w:firstLine="0" w:firstLineChars="0"/>
        <w:rPr>
          <w:color w:val="auto"/>
        </w:rPr>
      </w:pPr>
      <w:r>
        <w:rPr>
          <w:rFonts w:hint="eastAsia"/>
          <w:color w:val="auto"/>
        </w:rPr>
        <w:t xml:space="preserve">    比赛过程中一旦出现赛卷密等问题，立即由巡视员、专家组长、裁判长、监督组长和仲裁组长会商，并向</w:t>
      </w:r>
      <w:r>
        <w:rPr>
          <w:color w:val="auto"/>
        </w:rPr>
        <w:t>大赛</w:t>
      </w:r>
      <w:r>
        <w:rPr>
          <w:rFonts w:hint="eastAsia"/>
          <w:color w:val="auto"/>
        </w:rPr>
        <w:t>组委会</w:t>
      </w:r>
      <w:r>
        <w:rPr>
          <w:color w:val="auto"/>
        </w:rPr>
        <w:t>报告</w:t>
      </w:r>
      <w:r>
        <w:rPr>
          <w:rFonts w:hint="eastAsia"/>
          <w:color w:val="auto"/>
        </w:rPr>
        <w:t>，启用备用赛卷。</w:t>
      </w:r>
    </w:p>
    <w:p>
      <w:pPr>
        <w:ind w:firstLine="482"/>
        <w:rPr>
          <w:color w:val="auto"/>
        </w:rPr>
      </w:pPr>
      <w:r>
        <w:rPr>
          <w:rFonts w:hint="eastAsia"/>
          <w:b/>
          <w:bCs/>
          <w:color w:val="auto"/>
        </w:rPr>
        <w:t>（六）竞赛作品提交预案</w:t>
      </w:r>
    </w:p>
    <w:p>
      <w:pPr>
        <w:ind w:firstLine="480"/>
        <w:rPr>
          <w:color w:val="auto"/>
        </w:rPr>
      </w:pPr>
      <w:r>
        <w:rPr>
          <w:rFonts w:hint="eastAsia"/>
          <w:color w:val="auto"/>
        </w:rPr>
        <w:t>1、在赛场规定的场所递交；</w:t>
      </w:r>
    </w:p>
    <w:p>
      <w:pPr>
        <w:ind w:firstLine="480"/>
        <w:rPr>
          <w:color w:val="auto"/>
        </w:rPr>
      </w:pPr>
      <w:r>
        <w:rPr>
          <w:rFonts w:hint="eastAsia"/>
          <w:color w:val="auto"/>
        </w:rPr>
        <w:t>2、在竞赛规定的时间递交；</w:t>
      </w:r>
    </w:p>
    <w:p>
      <w:pPr>
        <w:ind w:firstLine="480"/>
        <w:rPr>
          <w:color w:val="auto"/>
        </w:rPr>
      </w:pPr>
      <w:r>
        <w:rPr>
          <w:rFonts w:hint="eastAsia"/>
          <w:color w:val="auto"/>
        </w:rPr>
        <w:t>3、按照规定的程序递交；</w:t>
      </w:r>
    </w:p>
    <w:p>
      <w:pPr>
        <w:ind w:firstLine="480"/>
        <w:rPr>
          <w:color w:val="auto"/>
        </w:rPr>
      </w:pPr>
      <w:r>
        <w:rPr>
          <w:rFonts w:hint="eastAsia"/>
          <w:color w:val="auto"/>
        </w:rPr>
        <w:t>4、递交现场及过程全程录像。</w:t>
      </w:r>
    </w:p>
    <w:p>
      <w:pPr>
        <w:ind w:firstLine="480"/>
        <w:rPr>
          <w:color w:val="auto"/>
        </w:rPr>
      </w:pPr>
      <w:r>
        <w:rPr>
          <w:rFonts w:hint="eastAsia"/>
          <w:color w:val="auto"/>
        </w:rPr>
        <w:t>5、如提交电脑（电子）作品的，应有参赛选手自己操作，参赛选手完成提交操作后，由参赛选手和裁判签字确认。</w:t>
      </w:r>
    </w:p>
    <w:p>
      <w:pPr>
        <w:spacing w:beforeLines="50"/>
        <w:ind w:firstLine="0" w:firstLineChars="0"/>
        <w:rPr>
          <w:rFonts w:ascii="仿宋" w:hAnsi="仿宋" w:cs="仿宋"/>
          <w:b/>
          <w:color w:val="auto"/>
          <w:szCs w:val="24"/>
        </w:rPr>
      </w:pPr>
      <w:r>
        <w:rPr>
          <w:rFonts w:hint="eastAsia" w:ascii="仿宋" w:hAnsi="仿宋" w:cs="仿宋"/>
          <w:b/>
          <w:color w:val="auto"/>
          <w:szCs w:val="24"/>
        </w:rPr>
        <w:t>十四、赛项安全</w:t>
      </w:r>
    </w:p>
    <w:p>
      <w:pPr>
        <w:ind w:firstLine="480"/>
        <w:rPr>
          <w:rFonts w:cs="Times New Roman"/>
          <w:color w:val="auto"/>
          <w:szCs w:val="24"/>
        </w:rPr>
      </w:pPr>
      <w:r>
        <w:rPr>
          <w:rFonts w:hint="eastAsia" w:cs="Times New Roman"/>
          <w:color w:val="auto"/>
          <w:szCs w:val="24"/>
        </w:rPr>
        <w:t>赛项安全是技能竞赛一切工作顺利开展的先决条件，是赛项筹备和运行工作必须考虑的核心问题。采取切实有效措施保证大赛期间参赛选手、指导教师、裁判员、工作人员及观众的人身安全。</w:t>
      </w:r>
    </w:p>
    <w:p>
      <w:pPr>
        <w:ind w:firstLine="482"/>
        <w:rPr>
          <w:b/>
          <w:color w:val="auto"/>
        </w:rPr>
      </w:pPr>
      <w:bookmarkStart w:id="5" w:name="_Toc361563584"/>
      <w:r>
        <w:rPr>
          <w:rFonts w:hint="eastAsia"/>
          <w:b/>
          <w:color w:val="auto"/>
        </w:rPr>
        <w:t>（一）比赛环境</w:t>
      </w:r>
      <w:bookmarkEnd w:id="5"/>
    </w:p>
    <w:p>
      <w:pPr>
        <w:ind w:firstLine="480"/>
        <w:rPr>
          <w:rFonts w:cs="Times New Roman"/>
          <w:color w:val="auto"/>
          <w:szCs w:val="24"/>
        </w:rPr>
      </w:pPr>
      <w:r>
        <w:rPr>
          <w:rFonts w:hint="eastAsia" w:cs="Times New Roman"/>
          <w:color w:val="auto"/>
          <w:szCs w:val="24"/>
        </w:rPr>
        <w:t>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赛项规程要求排除安全隐患。</w:t>
      </w:r>
    </w:p>
    <w:p>
      <w:pPr>
        <w:ind w:firstLine="480"/>
        <w:rPr>
          <w:rFonts w:cs="Times New Roman"/>
          <w:color w:val="auto"/>
          <w:szCs w:val="24"/>
        </w:rPr>
      </w:pPr>
      <w:r>
        <w:rPr>
          <w:rFonts w:hint="eastAsia" w:cs="Times New Roman"/>
          <w:color w:val="auto"/>
          <w:szCs w:val="24"/>
        </w:rPr>
        <w:t xml:space="preserve"> 赛场周围要设立警戒线，防止无关人员进入发生意外事件。比赛现场内应参照相关职业岗位的要求为选手提供必要的劳动保护。在具有危险性的操作环节，裁判员要严防选手出现错误操作。</w:t>
      </w:r>
    </w:p>
    <w:p>
      <w:pPr>
        <w:ind w:firstLine="480"/>
        <w:rPr>
          <w:rFonts w:cs="Times New Roman"/>
          <w:color w:val="auto"/>
          <w:szCs w:val="24"/>
        </w:rPr>
      </w:pPr>
      <w:r>
        <w:rPr>
          <w:rFonts w:hint="eastAsia" w:cs="Times New Roman"/>
          <w:color w:val="auto"/>
          <w:szCs w:val="24"/>
        </w:rPr>
        <w:t xml:space="preserve"> 承办单位应提供保证应急预案实施的条件。对于比赛内容涉及高空作业、可能有坠物、大用电量、易发生火灾等情况的赛项，必须明确制度和预案，并配备急救人员与设施。</w:t>
      </w:r>
    </w:p>
    <w:p>
      <w:pPr>
        <w:ind w:firstLine="480"/>
        <w:rPr>
          <w:rFonts w:cs="Times New Roman"/>
          <w:color w:val="auto"/>
          <w:szCs w:val="24"/>
        </w:rPr>
      </w:pPr>
      <w:r>
        <w:rPr>
          <w:rFonts w:hint="eastAsia" w:cs="Times New Roman"/>
          <w:color w:val="auto"/>
          <w:szCs w:val="24"/>
        </w:rPr>
        <w:t>承办单位制定开放赛场和体验区的人员疏导方案。赛场环境中存在人员密集、车流人流交错的区域，除了设置齐全的指示标志外，须增加引导人员，并开辟备用通道。</w:t>
      </w:r>
    </w:p>
    <w:p>
      <w:pPr>
        <w:ind w:firstLine="480"/>
        <w:rPr>
          <w:rFonts w:cs="Times New Roman"/>
          <w:color w:val="auto"/>
          <w:szCs w:val="24"/>
        </w:rPr>
      </w:pPr>
      <w:r>
        <w:rPr>
          <w:rFonts w:hint="eastAsia" w:cs="Times New Roman"/>
          <w:color w:val="auto"/>
          <w:szCs w:val="24"/>
        </w:rPr>
        <w:t xml:space="preserve"> 大赛期间，承办单位应在赛场管理的关键岗位增加力量并建立安全管理日志。</w:t>
      </w:r>
    </w:p>
    <w:p>
      <w:pPr>
        <w:ind w:firstLine="480"/>
        <w:rPr>
          <w:rFonts w:cs="Times New Roman"/>
          <w:color w:val="auto"/>
          <w:szCs w:val="24"/>
        </w:rPr>
      </w:pPr>
      <w:r>
        <w:rPr>
          <w:rFonts w:hint="eastAsia" w:cs="Times New Roman"/>
          <w:color w:val="auto"/>
          <w:szCs w:val="24"/>
        </w:rPr>
        <w:t xml:space="preserve"> 参赛选手进入工位、赛事裁判工作人员进入工作场所，严禁携带通讯、照相摄录设备，禁止携带记录用具。如确有需要，由赛场统一配置、统一管理。赛项可根据需要配置安检设备对进入赛场重要部位的人员进行安检。</w:t>
      </w:r>
    </w:p>
    <w:p>
      <w:pPr>
        <w:ind w:firstLine="482"/>
        <w:rPr>
          <w:b/>
          <w:color w:val="auto"/>
        </w:rPr>
      </w:pPr>
      <w:bookmarkStart w:id="6" w:name="_Toc361563585"/>
      <w:r>
        <w:rPr>
          <w:rFonts w:hint="eastAsia"/>
          <w:b/>
          <w:color w:val="auto"/>
        </w:rPr>
        <w:t>（二）生活条件</w:t>
      </w:r>
      <w:bookmarkEnd w:id="6"/>
    </w:p>
    <w:p>
      <w:pPr>
        <w:ind w:firstLine="480"/>
        <w:rPr>
          <w:rFonts w:cs="Times New Roman"/>
          <w:color w:val="auto"/>
          <w:szCs w:val="24"/>
        </w:rPr>
      </w:pPr>
      <w:r>
        <w:rPr>
          <w:rFonts w:hint="eastAsia" w:cs="Times New Roman"/>
          <w:color w:val="auto"/>
          <w:szCs w:val="24"/>
        </w:rPr>
        <w:t xml:space="preserve"> 比赛期间，统一安排参赛选手和指导教师食宿。承办单位须尊重少数民族的信仰及文化，根据国家相关的民族政策，安排好少数民族选手和教师的饮食起居。</w:t>
      </w:r>
    </w:p>
    <w:p>
      <w:pPr>
        <w:ind w:firstLine="480"/>
        <w:rPr>
          <w:rFonts w:cs="Times New Roman"/>
          <w:color w:val="auto"/>
          <w:szCs w:val="24"/>
        </w:rPr>
      </w:pPr>
      <w:r>
        <w:rPr>
          <w:rFonts w:hint="eastAsia" w:cs="Times New Roman"/>
          <w:color w:val="auto"/>
          <w:szCs w:val="24"/>
        </w:rPr>
        <w:t xml:space="preserve"> 比赛期间安排的住宿地应具有宾馆/住宿经营许可资质。以学校宿舍作为住宿地的，大赛期间的住宿、卫生、饮食安全等由提供宿舍的学校负责。</w:t>
      </w:r>
    </w:p>
    <w:p>
      <w:pPr>
        <w:ind w:firstLine="480"/>
        <w:rPr>
          <w:rFonts w:cs="Times New Roman"/>
          <w:color w:val="auto"/>
          <w:szCs w:val="24"/>
        </w:rPr>
      </w:pPr>
      <w:r>
        <w:rPr>
          <w:rFonts w:hint="eastAsia" w:cs="Times New Roman"/>
          <w:color w:val="auto"/>
          <w:szCs w:val="24"/>
        </w:rPr>
        <w:t xml:space="preserve"> 大赛期间承办单位须保障比赛期间选手、指导教师和裁判员、工作人员的交通安全。</w:t>
      </w:r>
    </w:p>
    <w:p>
      <w:pPr>
        <w:ind w:firstLine="480"/>
        <w:rPr>
          <w:rFonts w:cs="Times New Roman"/>
          <w:color w:val="auto"/>
          <w:szCs w:val="24"/>
        </w:rPr>
      </w:pPr>
      <w:r>
        <w:rPr>
          <w:rFonts w:hint="eastAsia" w:cs="Times New Roman"/>
          <w:color w:val="auto"/>
          <w:szCs w:val="24"/>
        </w:rPr>
        <w:t xml:space="preserve"> 各赛项的安全管理，除了可以采取必要的安全隔离措施外，应严格遵守国家相关法律法规，保护个人隐私和人身自由。</w:t>
      </w:r>
    </w:p>
    <w:p>
      <w:pPr>
        <w:ind w:firstLine="480"/>
        <w:rPr>
          <w:color w:val="auto"/>
        </w:rPr>
      </w:pPr>
      <w:bookmarkStart w:id="7" w:name="_Toc361563586"/>
      <w:r>
        <w:rPr>
          <w:rFonts w:hint="eastAsia"/>
          <w:color w:val="auto"/>
        </w:rPr>
        <w:t>（三）参赛队责任</w:t>
      </w:r>
      <w:bookmarkEnd w:id="7"/>
    </w:p>
    <w:p>
      <w:pPr>
        <w:ind w:firstLine="480"/>
        <w:rPr>
          <w:rFonts w:cs="Times New Roman"/>
          <w:color w:val="auto"/>
          <w:szCs w:val="24"/>
        </w:rPr>
      </w:pPr>
      <w:r>
        <w:rPr>
          <w:rFonts w:hint="eastAsia" w:cs="Times New Roman"/>
          <w:color w:val="auto"/>
          <w:szCs w:val="24"/>
        </w:rPr>
        <w:t>1.各学校组织参赛队时，须安排除参赛选手、指导教师、领队以外的随行人员购买大赛期间的人身意外伤害保险。</w:t>
      </w:r>
    </w:p>
    <w:p>
      <w:pPr>
        <w:ind w:firstLine="480"/>
        <w:rPr>
          <w:rFonts w:cs="Times New Roman"/>
          <w:color w:val="auto"/>
          <w:szCs w:val="24"/>
        </w:rPr>
      </w:pPr>
      <w:r>
        <w:rPr>
          <w:rFonts w:hint="eastAsia" w:cs="Times New Roman"/>
          <w:color w:val="auto"/>
          <w:szCs w:val="24"/>
        </w:rPr>
        <w:t>2.各学校参赛队组成后，须制定相关管理制度，并对所有选手、指导教师进行安全教育。</w:t>
      </w:r>
    </w:p>
    <w:p>
      <w:pPr>
        <w:ind w:firstLine="480"/>
        <w:rPr>
          <w:rFonts w:cs="Times New Roman"/>
          <w:color w:val="auto"/>
          <w:szCs w:val="24"/>
        </w:rPr>
      </w:pPr>
      <w:r>
        <w:rPr>
          <w:rFonts w:hint="eastAsia" w:cs="Times New Roman"/>
          <w:color w:val="auto"/>
          <w:szCs w:val="24"/>
        </w:rPr>
        <w:t>3.各参赛队伍须加强对参与比赛人员的安全管理，实现与赛场安全管理的对接。</w:t>
      </w:r>
    </w:p>
    <w:p>
      <w:pPr>
        <w:ind w:firstLine="482"/>
        <w:rPr>
          <w:b/>
          <w:color w:val="auto"/>
        </w:rPr>
      </w:pPr>
      <w:bookmarkStart w:id="8" w:name="_Toc361563587"/>
      <w:r>
        <w:rPr>
          <w:rFonts w:hint="eastAsia"/>
          <w:b/>
          <w:color w:val="auto"/>
        </w:rPr>
        <w:t>（四）应急处理</w:t>
      </w:r>
      <w:bookmarkEnd w:id="8"/>
    </w:p>
    <w:p>
      <w:pPr>
        <w:ind w:firstLine="480"/>
        <w:rPr>
          <w:rFonts w:cs="Times New Roman"/>
          <w:color w:val="auto"/>
          <w:szCs w:val="24"/>
        </w:rPr>
      </w:pPr>
      <w:r>
        <w:rPr>
          <w:rFonts w:hint="eastAsia" w:cs="Times New Roman"/>
          <w:color w:val="auto"/>
          <w:szCs w:val="24"/>
        </w:rPr>
        <w:t>比赛期间发生意外事故，发现者应第一时间报告赛项专家组长，同时采取措施避免事态扩大，立即启动预案予以解决并报告组委会。赛项出现重大安全问题可以停赛，应向组委会报告详细情况。</w:t>
      </w:r>
    </w:p>
    <w:p>
      <w:pPr>
        <w:ind w:firstLine="482"/>
        <w:rPr>
          <w:b/>
          <w:color w:val="auto"/>
        </w:rPr>
      </w:pPr>
      <w:bookmarkStart w:id="9" w:name="_Toc361563588"/>
      <w:r>
        <w:rPr>
          <w:rFonts w:hint="eastAsia"/>
          <w:b/>
          <w:color w:val="auto"/>
        </w:rPr>
        <w:t>（五）处罚措施</w:t>
      </w:r>
      <w:bookmarkEnd w:id="9"/>
    </w:p>
    <w:p>
      <w:pPr>
        <w:ind w:firstLine="480"/>
        <w:rPr>
          <w:rFonts w:cs="Times New Roman"/>
          <w:color w:val="auto"/>
          <w:szCs w:val="24"/>
        </w:rPr>
      </w:pPr>
      <w:r>
        <w:rPr>
          <w:rFonts w:hint="eastAsia" w:cs="Times New Roman"/>
          <w:color w:val="auto"/>
          <w:szCs w:val="24"/>
        </w:rPr>
        <w:t>1.因参赛队伍原因造成重大安全事故的，取消其获奖资格。</w:t>
      </w:r>
    </w:p>
    <w:p>
      <w:pPr>
        <w:ind w:firstLine="480"/>
        <w:rPr>
          <w:rFonts w:cs="Times New Roman"/>
          <w:color w:val="auto"/>
          <w:szCs w:val="24"/>
        </w:rPr>
      </w:pPr>
      <w:r>
        <w:rPr>
          <w:rFonts w:hint="eastAsia" w:cs="Times New Roman"/>
          <w:color w:val="auto"/>
          <w:szCs w:val="24"/>
        </w:rPr>
        <w:t>2.参赛队伍有发生重大安全事故隐患，经赛场工作人员提示、警告无效的，可取消其继续比赛的资格。</w:t>
      </w:r>
    </w:p>
    <w:p>
      <w:pPr>
        <w:ind w:firstLine="480"/>
        <w:rPr>
          <w:rFonts w:cs="Times New Roman"/>
          <w:color w:val="auto"/>
          <w:szCs w:val="24"/>
        </w:rPr>
      </w:pPr>
      <w:r>
        <w:rPr>
          <w:rFonts w:hint="eastAsia" w:cs="Times New Roman"/>
          <w:color w:val="auto"/>
          <w:szCs w:val="24"/>
        </w:rPr>
        <w:t>3.赛场工作人员违规，按照相应的制度追究责任。情节恶劣并造成重大安全事故的，由司法机关追究相应法律责任。</w:t>
      </w:r>
    </w:p>
    <w:p>
      <w:pPr>
        <w:spacing w:beforeLines="50"/>
        <w:ind w:firstLine="0" w:firstLineChars="0"/>
        <w:rPr>
          <w:rFonts w:ascii="仿宋" w:hAnsi="仿宋" w:cs="仿宋"/>
          <w:b/>
          <w:color w:val="auto"/>
          <w:szCs w:val="24"/>
        </w:rPr>
      </w:pPr>
      <w:r>
        <w:rPr>
          <w:rFonts w:hint="eastAsia" w:ascii="仿宋" w:hAnsi="仿宋" w:cs="仿宋"/>
          <w:b/>
          <w:color w:val="auto"/>
          <w:szCs w:val="24"/>
        </w:rPr>
        <w:t>十五、竞赛须知</w:t>
      </w:r>
    </w:p>
    <w:p>
      <w:pPr>
        <w:ind w:firstLine="482"/>
        <w:rPr>
          <w:b/>
          <w:color w:val="auto"/>
        </w:rPr>
      </w:pPr>
      <w:r>
        <w:rPr>
          <w:rFonts w:hint="eastAsia"/>
          <w:b/>
          <w:color w:val="auto"/>
        </w:rPr>
        <w:t>（一）参赛队须知</w:t>
      </w:r>
    </w:p>
    <w:p>
      <w:pPr>
        <w:ind w:firstLine="480"/>
        <w:rPr>
          <w:rFonts w:cs="Times New Roman"/>
          <w:color w:val="auto"/>
          <w:szCs w:val="24"/>
        </w:rPr>
      </w:pPr>
      <w:r>
        <w:rPr>
          <w:rFonts w:hint="eastAsia" w:cs="Times New Roman"/>
          <w:color w:val="auto"/>
          <w:szCs w:val="24"/>
        </w:rPr>
        <w:t>1.参赛队名称统一使用规定的代表队名称。</w:t>
      </w:r>
    </w:p>
    <w:p>
      <w:pPr>
        <w:ind w:firstLine="480"/>
        <w:rPr>
          <w:rFonts w:cs="Times New Roman"/>
          <w:color w:val="auto"/>
          <w:szCs w:val="24"/>
        </w:rPr>
      </w:pPr>
      <w:r>
        <w:rPr>
          <w:rFonts w:hint="eastAsia" w:cs="Times New Roman"/>
          <w:color w:val="auto"/>
          <w:szCs w:val="24"/>
        </w:rPr>
        <w:t>2.参赛队员在报名获得审核确认后，原则上不再更换，如筹备过程中，选手因故不能参赛，所在学校需出具书面说明并按相关规定补充人员并接受审核；开赛前10日以内，参赛队不得更换参赛队员，允许缺员比赛。</w:t>
      </w:r>
    </w:p>
    <w:p>
      <w:pPr>
        <w:ind w:firstLine="480"/>
        <w:rPr>
          <w:rFonts w:cs="Times New Roman"/>
          <w:color w:val="auto"/>
          <w:szCs w:val="24"/>
        </w:rPr>
      </w:pPr>
      <w:r>
        <w:rPr>
          <w:rFonts w:hint="eastAsia" w:cs="Times New Roman"/>
          <w:color w:val="auto"/>
          <w:szCs w:val="24"/>
        </w:rPr>
        <w:t>3.参赛队按照大赛赛程安排凭大赛组委会颁发的参赛证和有效身份证件参加比赛及相关活动。</w:t>
      </w:r>
    </w:p>
    <w:p>
      <w:pPr>
        <w:ind w:firstLine="480"/>
        <w:rPr>
          <w:rFonts w:cs="Times New Roman"/>
          <w:color w:val="auto"/>
          <w:szCs w:val="24"/>
        </w:rPr>
      </w:pPr>
      <w:r>
        <w:rPr>
          <w:rFonts w:hint="eastAsia" w:cs="Times New Roman"/>
          <w:color w:val="auto"/>
          <w:szCs w:val="24"/>
        </w:rPr>
        <w:t>4.各参赛队统一安排参加比赛前熟悉场地环境的活动。</w:t>
      </w:r>
    </w:p>
    <w:p>
      <w:pPr>
        <w:ind w:firstLine="480"/>
        <w:rPr>
          <w:rFonts w:cs="Times New Roman"/>
          <w:color w:val="auto"/>
          <w:szCs w:val="24"/>
        </w:rPr>
      </w:pPr>
      <w:r>
        <w:rPr>
          <w:rFonts w:hint="eastAsia" w:cs="Times New Roman"/>
          <w:color w:val="auto"/>
          <w:szCs w:val="24"/>
        </w:rPr>
        <w:t>5.各参赛队准时参加赛前领队会，领队会上举行抽签仪式抽取场次号。</w:t>
      </w:r>
    </w:p>
    <w:p>
      <w:pPr>
        <w:ind w:firstLine="480"/>
        <w:rPr>
          <w:rFonts w:cs="Times New Roman"/>
          <w:color w:val="auto"/>
          <w:szCs w:val="24"/>
        </w:rPr>
      </w:pPr>
      <w:r>
        <w:rPr>
          <w:rFonts w:hint="eastAsia" w:cs="Times New Roman"/>
          <w:color w:val="auto"/>
          <w:szCs w:val="24"/>
        </w:rPr>
        <w:t>6.各参赛队要注意饮食卫生，防止食物中毒。</w:t>
      </w:r>
    </w:p>
    <w:p>
      <w:pPr>
        <w:ind w:firstLine="480"/>
        <w:rPr>
          <w:rFonts w:cs="Times New Roman"/>
          <w:color w:val="auto"/>
          <w:szCs w:val="24"/>
        </w:rPr>
      </w:pPr>
      <w:r>
        <w:rPr>
          <w:rFonts w:hint="eastAsia" w:cs="Times New Roman"/>
          <w:color w:val="auto"/>
          <w:szCs w:val="24"/>
        </w:rPr>
        <w:t>7.各参赛队要发扬良好道德风尚，听从指挥，服从裁判，不弄虚作假。</w:t>
      </w:r>
    </w:p>
    <w:p>
      <w:pPr>
        <w:ind w:firstLine="482"/>
        <w:rPr>
          <w:b/>
          <w:color w:val="auto"/>
        </w:rPr>
      </w:pPr>
      <w:r>
        <w:rPr>
          <w:rFonts w:hint="eastAsia"/>
          <w:b/>
          <w:color w:val="auto"/>
        </w:rPr>
        <w:t>（二）指导老师须知</w:t>
      </w:r>
    </w:p>
    <w:p>
      <w:pPr>
        <w:ind w:firstLine="480"/>
        <w:rPr>
          <w:rFonts w:cs="Times New Roman"/>
          <w:color w:val="auto"/>
          <w:szCs w:val="24"/>
        </w:rPr>
      </w:pPr>
      <w:r>
        <w:rPr>
          <w:rFonts w:hint="eastAsia" w:cs="Times New Roman"/>
          <w:color w:val="auto"/>
          <w:szCs w:val="24"/>
        </w:rPr>
        <w:t>1.各指导老师要发扬良好道德风尚，听从指挥，服从裁判，不弄虚作假。指导老师经报名、审核后确定，一经确定不得更换。</w:t>
      </w:r>
    </w:p>
    <w:p>
      <w:pPr>
        <w:ind w:firstLine="480"/>
        <w:rPr>
          <w:rFonts w:cs="Times New Roman"/>
          <w:color w:val="auto"/>
          <w:szCs w:val="24"/>
        </w:rPr>
      </w:pPr>
      <w:r>
        <w:rPr>
          <w:rFonts w:hint="eastAsia" w:cs="Times New Roman"/>
          <w:color w:val="auto"/>
          <w:szCs w:val="24"/>
        </w:rPr>
        <w:t>2.对申诉的仲裁结果，领队和指导老师应带头服从和执行，还应说服选手服从和执行。</w:t>
      </w:r>
    </w:p>
    <w:p>
      <w:pPr>
        <w:ind w:firstLine="480"/>
        <w:rPr>
          <w:rFonts w:cs="Times New Roman"/>
          <w:color w:val="auto"/>
          <w:szCs w:val="24"/>
        </w:rPr>
      </w:pPr>
      <w:r>
        <w:rPr>
          <w:rFonts w:hint="eastAsia" w:cs="Times New Roman"/>
          <w:color w:val="auto"/>
          <w:szCs w:val="24"/>
        </w:rPr>
        <w:t>3.指导老师应认真研究和掌握本赛项比赛的技术规则和赛场要求，指导选手做好赛前的一切准备工作。</w:t>
      </w:r>
    </w:p>
    <w:p>
      <w:pPr>
        <w:ind w:firstLine="480"/>
        <w:rPr>
          <w:rFonts w:cs="Times New Roman"/>
          <w:color w:val="auto"/>
          <w:szCs w:val="24"/>
        </w:rPr>
      </w:pPr>
      <w:r>
        <w:rPr>
          <w:rFonts w:hint="eastAsia" w:cs="Times New Roman"/>
          <w:color w:val="auto"/>
          <w:szCs w:val="24"/>
        </w:rPr>
        <w:t>4.领队和指导老师应在赛后做好技术总结和工作总结。</w:t>
      </w:r>
    </w:p>
    <w:p>
      <w:pPr>
        <w:ind w:firstLine="482"/>
        <w:rPr>
          <w:b/>
          <w:color w:val="auto"/>
        </w:rPr>
      </w:pPr>
      <w:r>
        <w:rPr>
          <w:rFonts w:hint="eastAsia"/>
          <w:b/>
          <w:color w:val="auto"/>
        </w:rPr>
        <w:t>（三）参赛选手须知</w:t>
      </w:r>
    </w:p>
    <w:p>
      <w:pPr>
        <w:ind w:firstLine="480"/>
        <w:rPr>
          <w:rFonts w:cs="Times New Roman"/>
          <w:color w:val="auto"/>
        </w:rPr>
      </w:pPr>
      <w:r>
        <w:rPr>
          <w:rFonts w:hint="eastAsia" w:cs="Times New Roman"/>
          <w:color w:val="auto"/>
        </w:rPr>
        <w:t>1.参赛选手应遵守比赛规则，尊重裁判和赛场工作人员，自觉遵守赛场秩序，服从裁判的管理。</w:t>
      </w:r>
    </w:p>
    <w:p>
      <w:pPr>
        <w:ind w:firstLine="480"/>
        <w:rPr>
          <w:rFonts w:cs="Times New Roman"/>
          <w:color w:val="auto"/>
        </w:rPr>
      </w:pPr>
      <w:r>
        <w:rPr>
          <w:rFonts w:hint="eastAsia" w:cs="Times New Roman"/>
          <w:color w:val="auto"/>
        </w:rPr>
        <w:t>2.参赛选手应佩戴参赛证，带齐身份证、注册的学生证。在赛场的着装，应符合职业要求。在赛场的表现，应体现自己良好的职业习惯和职业素养。</w:t>
      </w:r>
    </w:p>
    <w:p>
      <w:pPr>
        <w:ind w:firstLine="480"/>
        <w:rPr>
          <w:rFonts w:cs="Times New Roman"/>
          <w:color w:val="auto"/>
        </w:rPr>
      </w:pPr>
      <w:r>
        <w:rPr>
          <w:rFonts w:hint="eastAsia" w:cs="Times New Roman"/>
          <w:color w:val="auto"/>
        </w:rPr>
        <w:t>3.进入赛场前须将手机等通讯工具交赛场相关人员保管，不能带入赛场。未经检验的工具、电子储存器件和其他不允许带入赛场物品，一律不能进入赛场。</w:t>
      </w:r>
    </w:p>
    <w:p>
      <w:pPr>
        <w:ind w:firstLine="480"/>
        <w:rPr>
          <w:rFonts w:cs="Times New Roman"/>
          <w:color w:val="auto"/>
        </w:rPr>
      </w:pPr>
      <w:r>
        <w:rPr>
          <w:rFonts w:hint="eastAsia" w:cs="Times New Roman"/>
          <w:color w:val="auto"/>
        </w:rPr>
        <w:t>4.比赛过程中不准互相交谈，不得大声喧哗；不得有影响其他选手比赛的行为，不准有旁窥、夹带等作弊行为。</w:t>
      </w:r>
    </w:p>
    <w:p>
      <w:pPr>
        <w:ind w:firstLine="480"/>
        <w:rPr>
          <w:rFonts w:cs="Times New Roman"/>
          <w:color w:val="auto"/>
        </w:rPr>
      </w:pPr>
      <w:r>
        <w:rPr>
          <w:rFonts w:hint="eastAsia" w:cs="Times New Roman"/>
          <w:color w:val="auto"/>
        </w:rPr>
        <w:t>5.参赛选手在比赛的过程中，应遵守安全操作规程，文明的操作。通电调试设备时，应经现场裁判许可，在技术人员监护下进行。</w:t>
      </w:r>
    </w:p>
    <w:p>
      <w:pPr>
        <w:ind w:firstLine="480"/>
        <w:rPr>
          <w:rFonts w:cs="Times New Roman"/>
          <w:color w:val="auto"/>
        </w:rPr>
      </w:pPr>
      <w:r>
        <w:rPr>
          <w:rFonts w:hint="eastAsia" w:cs="Times New Roman"/>
          <w:color w:val="auto"/>
        </w:rPr>
        <w:t>6.比赛过程中需要去洗手间，应报告现场裁判，由裁判或赛场工作人员陪同离开赛场。</w:t>
      </w:r>
    </w:p>
    <w:p>
      <w:pPr>
        <w:ind w:firstLine="480"/>
        <w:rPr>
          <w:rFonts w:cs="Times New Roman"/>
          <w:color w:val="auto"/>
        </w:rPr>
      </w:pPr>
      <w:r>
        <w:rPr>
          <w:rFonts w:hint="eastAsia" w:cs="Times New Roman"/>
          <w:color w:val="auto"/>
        </w:rPr>
        <w:t>7.完成比赛任务后，需要在比赛结束前离开赛场，需向现场裁判示意，在赛场记录上填写离场时间并签工位号确认后，方可离开赛场到指定区域等候评分，离开赛场后不可再次进入。未完成比赛任务，因病或其他原因需要终止比赛离开赛场，需经裁判长同意，在赛场记录表的相应栏目填写离场原因、离场时间并签工位号确认后，方可离开；离开后，不能再次进入赛场。</w:t>
      </w:r>
    </w:p>
    <w:p>
      <w:pPr>
        <w:ind w:firstLine="480"/>
        <w:rPr>
          <w:rFonts w:cs="Times New Roman"/>
          <w:color w:val="auto"/>
        </w:rPr>
      </w:pPr>
      <w:r>
        <w:rPr>
          <w:rFonts w:hint="eastAsia" w:cs="Times New Roman"/>
          <w:color w:val="auto"/>
        </w:rPr>
        <w:t>8.裁判长发出停止比赛的指令，选手（包括需要补时的选手）应立即停止操作进入通道，在现场裁判的指挥下离开赛场到达指定的区域等候评分。需要补时的选手在离场后，由现场裁判召唤进场补时或比赛结束后自然延时补时。</w:t>
      </w:r>
    </w:p>
    <w:p>
      <w:pPr>
        <w:ind w:firstLine="480"/>
        <w:rPr>
          <w:rFonts w:cs="Times New Roman"/>
          <w:color w:val="auto"/>
        </w:rPr>
      </w:pPr>
      <w:r>
        <w:rPr>
          <w:rFonts w:cs="Times New Roman"/>
          <w:color w:val="auto"/>
        </w:rPr>
        <w:t>9</w:t>
      </w:r>
      <w:r>
        <w:rPr>
          <w:rFonts w:hint="eastAsia" w:cs="Times New Roman"/>
          <w:color w:val="auto"/>
        </w:rPr>
        <w:t>.赛场工作人员叫到工位号、在等待评分的选手，应迅速进入赛场，与评分裁判一道完成比赛成绩评定。在评分过程中，选手应配合评分裁判，按要求进行设备的操作；可与裁判沟通，解释设备运行中的问题；不可与裁判争辩、争分，影响评分。</w:t>
      </w:r>
    </w:p>
    <w:p>
      <w:pPr>
        <w:ind w:firstLine="480"/>
        <w:rPr>
          <w:rFonts w:ascii="Arial Narrow" w:hAnsi="Arial Narrow" w:eastAsia="仿宋_GB2312" w:cs="Times New Roman"/>
          <w:color w:val="auto"/>
          <w:sz w:val="28"/>
          <w:szCs w:val="28"/>
        </w:rPr>
      </w:pPr>
      <w:r>
        <w:rPr>
          <w:rFonts w:cs="Times New Roman"/>
          <w:color w:val="auto"/>
        </w:rPr>
        <w:t>10</w:t>
      </w:r>
      <w:r>
        <w:rPr>
          <w:rFonts w:hint="eastAsia" w:cs="Times New Roman"/>
          <w:color w:val="auto"/>
        </w:rPr>
        <w:t>.遇突发事件，立即报告裁判和赛场工作人员，按赛场裁判和工作人员的指令行动。</w:t>
      </w:r>
    </w:p>
    <w:p>
      <w:pPr>
        <w:ind w:firstLine="482"/>
        <w:rPr>
          <w:b/>
          <w:color w:val="auto"/>
        </w:rPr>
      </w:pPr>
      <w:r>
        <w:rPr>
          <w:rFonts w:hint="eastAsia"/>
          <w:b/>
          <w:color w:val="auto"/>
        </w:rPr>
        <w:t>（四）工作人员须知</w:t>
      </w:r>
    </w:p>
    <w:p>
      <w:pPr>
        <w:ind w:firstLine="480"/>
        <w:rPr>
          <w:rFonts w:cs="Times New Roman"/>
          <w:color w:val="auto"/>
          <w:szCs w:val="24"/>
        </w:rPr>
      </w:pPr>
      <w:r>
        <w:rPr>
          <w:rFonts w:hint="eastAsia" w:cs="Times New Roman"/>
          <w:color w:val="auto"/>
          <w:szCs w:val="24"/>
        </w:rPr>
        <w:t>1.工作人员必须服从赛项组委会统一指挥，佩戴工作人员标识，认真履行职责，做好服务赛场、服务选手的工作。</w:t>
      </w:r>
    </w:p>
    <w:p>
      <w:pPr>
        <w:ind w:firstLine="480"/>
        <w:rPr>
          <w:rFonts w:cs="Times New Roman"/>
          <w:color w:val="auto"/>
          <w:szCs w:val="24"/>
        </w:rPr>
      </w:pPr>
      <w:r>
        <w:rPr>
          <w:rFonts w:hint="eastAsia" w:cs="Times New Roman"/>
          <w:color w:val="auto"/>
          <w:szCs w:val="24"/>
        </w:rPr>
        <w:t>2.工作人员按照分工准时上岗，不得擅自离岗，应认真履行各自的工作职责，保证竞赛工作的顺利进行。</w:t>
      </w:r>
    </w:p>
    <w:p>
      <w:pPr>
        <w:ind w:firstLine="480"/>
        <w:rPr>
          <w:rFonts w:cs="Times New Roman"/>
          <w:color w:val="auto"/>
          <w:szCs w:val="24"/>
        </w:rPr>
      </w:pPr>
      <w:r>
        <w:rPr>
          <w:rFonts w:hint="eastAsia" w:cs="Times New Roman"/>
          <w:color w:val="auto"/>
          <w:szCs w:val="24"/>
        </w:rPr>
        <w:t>3.工作人员应在规定的区域内工作，未经许可，不得擅自进入竞赛场地。如需进场，需经过裁判长同意，核准证件，有裁判跟随入场。</w:t>
      </w:r>
    </w:p>
    <w:p>
      <w:pPr>
        <w:ind w:firstLine="480"/>
        <w:rPr>
          <w:rFonts w:cs="Times New Roman"/>
          <w:color w:val="auto"/>
          <w:szCs w:val="24"/>
        </w:rPr>
      </w:pPr>
      <w:r>
        <w:rPr>
          <w:rFonts w:hint="eastAsia" w:cs="Times New Roman"/>
          <w:color w:val="auto"/>
          <w:szCs w:val="24"/>
        </w:rPr>
        <w:t>4.如遇突发事件，须及时向裁判长报告，同时做好疏导工作，避免重大事故发生，确保竞赛圆满成功。</w:t>
      </w:r>
    </w:p>
    <w:p>
      <w:pPr>
        <w:ind w:firstLine="480"/>
        <w:rPr>
          <w:rFonts w:cs="Times New Roman"/>
          <w:color w:val="auto"/>
          <w:szCs w:val="24"/>
        </w:rPr>
      </w:pPr>
      <w:r>
        <w:rPr>
          <w:rFonts w:hint="eastAsia" w:cs="Times New Roman"/>
          <w:color w:val="auto"/>
          <w:szCs w:val="24"/>
        </w:rPr>
        <w:t>5.竞赛期间，工作人员不得干涉及个人工作职责之外的事宜，不得利用工作之便，弄虚作假、徇私舞弊。如有上述现象或因工作不负责任的情况，造成竞赛程序无法继续进行，由赛项组委会视情节轻重，给予通报批评或停止工作，并通知其所在单位做出相应处理。</w:t>
      </w:r>
    </w:p>
    <w:p>
      <w:pPr>
        <w:ind w:firstLine="482"/>
        <w:rPr>
          <w:b/>
          <w:color w:val="auto"/>
        </w:rPr>
      </w:pPr>
      <w:bookmarkStart w:id="10" w:name="_Toc331270114"/>
      <w:r>
        <w:rPr>
          <w:rFonts w:hint="eastAsia"/>
          <w:b/>
          <w:color w:val="auto"/>
        </w:rPr>
        <w:t>（五）裁判员</w:t>
      </w:r>
      <w:bookmarkEnd w:id="10"/>
      <w:r>
        <w:rPr>
          <w:rFonts w:hint="eastAsia"/>
          <w:b/>
          <w:color w:val="auto"/>
        </w:rPr>
        <w:t>须知</w:t>
      </w:r>
    </w:p>
    <w:p>
      <w:pPr>
        <w:ind w:firstLine="480"/>
        <w:rPr>
          <w:rFonts w:cs="Times New Roman"/>
          <w:color w:val="auto"/>
          <w:szCs w:val="24"/>
        </w:rPr>
      </w:pPr>
      <w:r>
        <w:rPr>
          <w:rFonts w:hint="eastAsia" w:cs="Times New Roman"/>
          <w:color w:val="auto"/>
          <w:szCs w:val="24"/>
        </w:rPr>
        <w:t>1.裁判员执裁前应参加培训，了解比赛任务及其要求、考核的知识与技能，认真学习评分标准，理解评分表各评价内容和标准。不参加培训的裁判员，取消执裁资格。</w:t>
      </w:r>
    </w:p>
    <w:p>
      <w:pPr>
        <w:ind w:firstLine="480"/>
        <w:rPr>
          <w:rFonts w:cs="Times New Roman"/>
          <w:color w:val="auto"/>
          <w:szCs w:val="24"/>
        </w:rPr>
      </w:pPr>
      <w:r>
        <w:rPr>
          <w:rFonts w:hint="eastAsia" w:cs="Times New Roman"/>
          <w:color w:val="auto"/>
          <w:szCs w:val="24"/>
        </w:rPr>
        <w:t>2.裁判员执裁期间，统一佩戴裁判员标识，举止文明礼貌，接受参赛人员的监督。</w:t>
      </w:r>
    </w:p>
    <w:p>
      <w:pPr>
        <w:ind w:firstLine="480"/>
        <w:rPr>
          <w:rFonts w:cs="Times New Roman"/>
          <w:color w:val="auto"/>
          <w:szCs w:val="24"/>
        </w:rPr>
      </w:pPr>
      <w:r>
        <w:rPr>
          <w:rFonts w:hint="eastAsia" w:cs="Times New Roman"/>
          <w:color w:val="auto"/>
          <w:szCs w:val="24"/>
        </w:rPr>
        <w:t>3.遵守执裁纪律，履行裁判职责，执行竞赛规则，信守裁判承诺书的各项承诺。服从赛项专家组和裁判长的领导。按照分工开展工作，始终坚守工作岗位，不得擅自离岗。</w:t>
      </w:r>
    </w:p>
    <w:p>
      <w:pPr>
        <w:ind w:firstLine="480"/>
        <w:rPr>
          <w:rFonts w:cs="Times New Roman"/>
          <w:color w:val="auto"/>
          <w:szCs w:val="24"/>
        </w:rPr>
      </w:pPr>
      <w:r>
        <w:rPr>
          <w:rFonts w:hint="eastAsia" w:cs="Times New Roman"/>
          <w:color w:val="auto"/>
          <w:szCs w:val="24"/>
        </w:rPr>
        <w:t>4.裁判员有维护赛场秩序、执行赛场纪律的责任，也有保证参赛选手安全的责任。时刻注意参赛选手操作安全的问题，制止违反安全操作的行为，防止安全事故的出现。</w:t>
      </w:r>
    </w:p>
    <w:p>
      <w:pPr>
        <w:ind w:firstLine="480"/>
        <w:rPr>
          <w:rFonts w:cs="Times New Roman"/>
          <w:color w:val="auto"/>
          <w:szCs w:val="24"/>
        </w:rPr>
      </w:pPr>
      <w:r>
        <w:rPr>
          <w:rFonts w:hint="eastAsia" w:cs="Times New Roman"/>
          <w:color w:val="auto"/>
          <w:szCs w:val="24"/>
        </w:rPr>
        <w:t>5.裁判员不得有任何影响参赛选手比赛的行为，不得向参赛选手暗示或解答与竞赛有关的问题，不得指导、帮助选手完成比赛任务。</w:t>
      </w:r>
    </w:p>
    <w:p>
      <w:pPr>
        <w:ind w:firstLine="480"/>
        <w:rPr>
          <w:rFonts w:cs="Times New Roman"/>
          <w:color w:val="auto"/>
          <w:szCs w:val="24"/>
        </w:rPr>
      </w:pPr>
      <w:r>
        <w:rPr>
          <w:rFonts w:hint="eastAsia" w:cs="Times New Roman"/>
          <w:color w:val="auto"/>
          <w:szCs w:val="24"/>
        </w:rPr>
        <w:t>6.公平公正的对待每一位参赛选手，不能有亲近与疏远、热情与冷淡差别。</w:t>
      </w:r>
    </w:p>
    <w:p>
      <w:pPr>
        <w:ind w:firstLine="480"/>
        <w:rPr>
          <w:rFonts w:cs="Times New Roman"/>
          <w:color w:val="auto"/>
          <w:szCs w:val="24"/>
        </w:rPr>
      </w:pPr>
      <w:r>
        <w:rPr>
          <w:rFonts w:cs="Times New Roman"/>
          <w:color w:val="auto"/>
          <w:szCs w:val="24"/>
        </w:rPr>
        <w:t>7</w:t>
      </w:r>
      <w:r>
        <w:rPr>
          <w:rFonts w:hint="eastAsia" w:cs="Times New Roman"/>
          <w:color w:val="auto"/>
          <w:szCs w:val="24"/>
        </w:rPr>
        <w:t>.赛场中选手出现的所有问题如：违反赛场纪律、违反安全操作规程、提前离开赛场等，都应在赛场记录表上记录，并要求学生签工位号确认。</w:t>
      </w:r>
    </w:p>
    <w:p>
      <w:pPr>
        <w:ind w:firstLine="480"/>
        <w:rPr>
          <w:rFonts w:cs="Times New Roman"/>
          <w:color w:val="auto"/>
          <w:szCs w:val="24"/>
        </w:rPr>
      </w:pPr>
      <w:r>
        <w:rPr>
          <w:rFonts w:cs="Times New Roman"/>
          <w:color w:val="auto"/>
          <w:szCs w:val="24"/>
        </w:rPr>
        <w:t>8</w:t>
      </w:r>
      <w:r>
        <w:rPr>
          <w:rFonts w:hint="eastAsia" w:cs="Times New Roman"/>
          <w:color w:val="auto"/>
          <w:szCs w:val="24"/>
        </w:rPr>
        <w:t>.严格执行竞赛项目评分标准，做到公平、公正、真实、准确，杜绝随意打分；对评分表的理解和宽严尺度把握有分歧时，请示裁判长解决。严禁利用工作之便，弄虚作假、徇私舞弊。</w:t>
      </w:r>
    </w:p>
    <w:p>
      <w:pPr>
        <w:ind w:firstLine="480"/>
        <w:rPr>
          <w:rFonts w:cs="Times New Roman"/>
          <w:color w:val="auto"/>
          <w:szCs w:val="24"/>
        </w:rPr>
      </w:pPr>
      <w:r>
        <w:rPr>
          <w:rFonts w:cs="Times New Roman"/>
          <w:color w:val="auto"/>
          <w:szCs w:val="24"/>
        </w:rPr>
        <w:t>9</w:t>
      </w:r>
      <w:r>
        <w:rPr>
          <w:rFonts w:hint="eastAsia" w:cs="Times New Roman"/>
          <w:color w:val="auto"/>
          <w:szCs w:val="24"/>
        </w:rPr>
        <w:t>.竞赛期间，因裁判人员工作不负责任，造成竞赛程序无法继续进行或评判结果不真实的情况，由赛项组委会视情节轻重，给予通报批评或停止裁判资格，并通知其所在单位做出相应处理。</w:t>
      </w:r>
    </w:p>
    <w:p>
      <w:pPr>
        <w:spacing w:beforeLines="50"/>
        <w:ind w:firstLine="0" w:firstLineChars="0"/>
        <w:rPr>
          <w:rFonts w:ascii="仿宋" w:hAnsi="仿宋" w:cs="仿宋"/>
          <w:b/>
          <w:color w:val="auto"/>
          <w:szCs w:val="24"/>
        </w:rPr>
      </w:pPr>
      <w:r>
        <w:rPr>
          <w:rFonts w:hint="eastAsia" w:ascii="仿宋" w:hAnsi="仿宋" w:cs="仿宋"/>
          <w:b/>
          <w:color w:val="auto"/>
          <w:szCs w:val="24"/>
        </w:rPr>
        <w:t>十六、申诉与仲裁</w:t>
      </w:r>
    </w:p>
    <w:p>
      <w:pPr>
        <w:ind w:firstLine="424" w:firstLineChars="177"/>
        <w:rPr>
          <w:rFonts w:ascii="仿宋" w:hAnsi="仿宋" w:cs="Arial"/>
          <w:color w:val="auto"/>
          <w:szCs w:val="24"/>
        </w:rPr>
      </w:pPr>
      <w:r>
        <w:rPr>
          <w:rFonts w:hint="eastAsia" w:ascii="仿宋" w:hAnsi="仿宋" w:cs="Arial"/>
          <w:color w:val="auto"/>
          <w:szCs w:val="24"/>
        </w:rPr>
        <w:t>（一）各参赛队对不符合赛项规程规定的设备、工具、材料、计算机软硬件、竞赛执裁、赛场管理及工作人员的不规范行为等，可向赛项仲裁组提出申诉。</w:t>
      </w:r>
    </w:p>
    <w:p>
      <w:pPr>
        <w:ind w:firstLine="424" w:firstLineChars="177"/>
        <w:rPr>
          <w:rFonts w:ascii="仿宋" w:hAnsi="仿宋" w:cs="Arial"/>
          <w:color w:val="auto"/>
          <w:szCs w:val="24"/>
        </w:rPr>
      </w:pPr>
      <w:r>
        <w:rPr>
          <w:rFonts w:hint="eastAsia" w:ascii="仿宋" w:hAnsi="仿宋" w:cs="Arial"/>
          <w:color w:val="auto"/>
          <w:szCs w:val="24"/>
        </w:rPr>
        <w:t>（二）申诉主体为参赛队领队。</w:t>
      </w:r>
    </w:p>
    <w:p>
      <w:pPr>
        <w:ind w:firstLine="424" w:firstLineChars="177"/>
        <w:rPr>
          <w:rFonts w:ascii="仿宋" w:hAnsi="仿宋" w:cs="Arial"/>
          <w:color w:val="auto"/>
          <w:szCs w:val="24"/>
        </w:rPr>
      </w:pPr>
      <w:r>
        <w:rPr>
          <w:rFonts w:hint="eastAsia" w:ascii="仿宋" w:hAnsi="仿宋" w:cs="Arial"/>
          <w:color w:val="auto"/>
          <w:szCs w:val="24"/>
        </w:rPr>
        <w:t>（三）申诉启动时，参赛队以该队领队签字同意的书面报告的形式递交赛项仲裁组。报告应对申诉事件的现象、发生时间、涉及人员、申诉依据等进行充分、实事求是的叙述。非书面申诉不予受理。</w:t>
      </w:r>
    </w:p>
    <w:p>
      <w:pPr>
        <w:ind w:firstLine="424" w:firstLineChars="177"/>
        <w:rPr>
          <w:rFonts w:ascii="仿宋" w:hAnsi="仿宋" w:cs="Arial"/>
          <w:color w:val="auto"/>
          <w:szCs w:val="24"/>
        </w:rPr>
      </w:pPr>
      <w:r>
        <w:rPr>
          <w:rFonts w:hint="eastAsia" w:ascii="仿宋" w:hAnsi="仿宋" w:cs="Arial"/>
          <w:color w:val="auto"/>
          <w:szCs w:val="24"/>
        </w:rPr>
        <w:t>（四）提出申诉应在赛项比赛结束后</w:t>
      </w:r>
      <w:r>
        <w:rPr>
          <w:rFonts w:ascii="仿宋" w:hAnsi="仿宋" w:cs="Arial"/>
          <w:color w:val="auto"/>
          <w:szCs w:val="24"/>
        </w:rPr>
        <w:t>2</w:t>
      </w:r>
      <w:r>
        <w:rPr>
          <w:rFonts w:hint="eastAsia" w:ascii="仿宋" w:hAnsi="仿宋" w:cs="Arial"/>
          <w:color w:val="auto"/>
          <w:szCs w:val="24"/>
        </w:rPr>
        <w:t>小时内提出。超过</w:t>
      </w:r>
      <w:r>
        <w:rPr>
          <w:rFonts w:ascii="仿宋" w:hAnsi="仿宋" w:cs="Arial"/>
          <w:color w:val="auto"/>
          <w:szCs w:val="24"/>
        </w:rPr>
        <w:t>2</w:t>
      </w:r>
      <w:r>
        <w:rPr>
          <w:rFonts w:hint="eastAsia" w:ascii="仿宋" w:hAnsi="仿宋" w:cs="Arial"/>
          <w:color w:val="auto"/>
          <w:szCs w:val="24"/>
        </w:rPr>
        <w:t>小时不予受理。</w:t>
      </w:r>
    </w:p>
    <w:p>
      <w:pPr>
        <w:ind w:firstLine="424" w:firstLineChars="177"/>
        <w:rPr>
          <w:rFonts w:ascii="仿宋" w:hAnsi="仿宋" w:cs="Arial"/>
          <w:color w:val="auto"/>
          <w:szCs w:val="24"/>
        </w:rPr>
      </w:pPr>
      <w:r>
        <w:rPr>
          <w:rFonts w:hint="eastAsia" w:ascii="仿宋" w:hAnsi="仿宋" w:cs="Arial"/>
          <w:color w:val="auto"/>
          <w:szCs w:val="24"/>
        </w:rPr>
        <w:t>（五）赛项仲裁组在接到申诉报告后的</w:t>
      </w:r>
      <w:r>
        <w:rPr>
          <w:rFonts w:ascii="仿宋" w:hAnsi="仿宋" w:cs="Arial"/>
          <w:color w:val="auto"/>
          <w:szCs w:val="24"/>
        </w:rPr>
        <w:t>2</w:t>
      </w:r>
      <w:r>
        <w:rPr>
          <w:rFonts w:hint="eastAsia" w:ascii="仿宋" w:hAnsi="仿宋" w:cs="Arial"/>
          <w:color w:val="auto"/>
          <w:szCs w:val="24"/>
        </w:rPr>
        <w:t>小时内组织复议，并及时将复议结果以书面形式告知申诉方。申诉方对复议结果仍有异议，可由领队向大赛仲裁工作组提出申诉。大赛仲裁工作组的仲裁结果为最终结果。</w:t>
      </w:r>
    </w:p>
    <w:p>
      <w:pPr>
        <w:ind w:firstLine="424" w:firstLineChars="177"/>
        <w:rPr>
          <w:rFonts w:ascii="仿宋" w:hAnsi="仿宋" w:cs="Arial"/>
          <w:color w:val="auto"/>
          <w:szCs w:val="24"/>
        </w:rPr>
      </w:pPr>
      <w:r>
        <w:rPr>
          <w:rFonts w:hint="eastAsia" w:ascii="仿宋" w:hAnsi="仿宋" w:cs="Arial"/>
          <w:color w:val="auto"/>
          <w:szCs w:val="24"/>
        </w:rPr>
        <w:t>（六）申诉方不得以任何理由拒绝接收仲裁结果；不得以任何理由采取过激行为扰乱赛场秩序。仲裁结果由申诉人签收，不能代收；如在约定时间和地点申诉人离开，视为自行放弃申诉。</w:t>
      </w:r>
    </w:p>
    <w:p>
      <w:pPr>
        <w:ind w:firstLine="424" w:firstLineChars="177"/>
        <w:rPr>
          <w:rFonts w:hint="eastAsia" w:ascii="仿宋" w:hAnsi="仿宋" w:cs="Arial"/>
          <w:color w:val="auto"/>
          <w:szCs w:val="24"/>
        </w:rPr>
      </w:pPr>
      <w:r>
        <w:rPr>
          <w:rFonts w:hint="eastAsia" w:ascii="仿宋" w:hAnsi="仿宋" w:cs="Arial"/>
          <w:color w:val="auto"/>
          <w:szCs w:val="24"/>
        </w:rPr>
        <w:t>（七）申诉方可随时提出放弃申诉。</w:t>
      </w:r>
    </w:p>
    <w:p>
      <w:pPr>
        <w:ind w:firstLine="424" w:firstLineChars="177"/>
        <w:rPr>
          <w:rFonts w:ascii="仿宋" w:hAnsi="仿宋" w:cs="Arial"/>
          <w:color w:val="auto"/>
          <w:szCs w:val="24"/>
        </w:rPr>
      </w:pPr>
    </w:p>
    <w:p>
      <w:pPr>
        <w:spacing w:beforeLines="50"/>
        <w:ind w:firstLine="0" w:firstLineChars="0"/>
        <w:rPr>
          <w:rFonts w:ascii="仿宋" w:hAnsi="仿宋" w:cs="仿宋"/>
          <w:b/>
          <w:color w:val="auto"/>
          <w:szCs w:val="24"/>
        </w:rPr>
      </w:pPr>
      <w:r>
        <w:rPr>
          <w:rFonts w:hint="eastAsia" w:ascii="仿宋" w:hAnsi="仿宋" w:cs="仿宋"/>
          <w:b/>
          <w:color w:val="auto"/>
          <w:szCs w:val="24"/>
        </w:rPr>
        <w:t>十七、竞赛观摩</w:t>
      </w:r>
    </w:p>
    <w:p>
      <w:pPr>
        <w:ind w:firstLine="480"/>
        <w:rPr>
          <w:rFonts w:cs="Times New Roman"/>
          <w:color w:val="auto"/>
        </w:rPr>
      </w:pPr>
      <w:r>
        <w:rPr>
          <w:rFonts w:cs="Times New Roman"/>
          <w:color w:val="auto"/>
        </w:rPr>
        <w:t>1.观摩期间，必须服从现场工作人员的指挥，保持安静，不得大声喧哗，不得在观摩区来回走动影响他人观摩。</w:t>
      </w:r>
    </w:p>
    <w:p>
      <w:pPr>
        <w:ind w:firstLine="480"/>
        <w:rPr>
          <w:rFonts w:cs="Times New Roman"/>
          <w:color w:val="auto"/>
        </w:rPr>
      </w:pPr>
      <w:r>
        <w:rPr>
          <w:rFonts w:cs="Times New Roman"/>
          <w:color w:val="auto"/>
        </w:rPr>
        <w:t>2.各参赛队人员需提前</w:t>
      </w:r>
      <w:r>
        <w:rPr>
          <w:rFonts w:hint="eastAsia" w:cs="Times New Roman"/>
          <w:color w:val="auto"/>
        </w:rPr>
        <w:t>15</w:t>
      </w:r>
      <w:r>
        <w:rPr>
          <w:rFonts w:cs="Times New Roman"/>
          <w:color w:val="auto"/>
        </w:rPr>
        <w:t>分钟到达观摩区入口处进行证件核查。</w:t>
      </w:r>
    </w:p>
    <w:p>
      <w:pPr>
        <w:ind w:firstLine="480"/>
        <w:rPr>
          <w:rFonts w:cs="Times New Roman"/>
          <w:color w:val="auto"/>
        </w:rPr>
      </w:pPr>
      <w:r>
        <w:rPr>
          <w:rFonts w:cs="Times New Roman"/>
          <w:color w:val="auto"/>
        </w:rPr>
        <w:t>3.视频观摩地点</w:t>
      </w:r>
      <w:r>
        <w:rPr>
          <w:rFonts w:hint="eastAsia" w:cs="Times New Roman"/>
          <w:color w:val="auto"/>
        </w:rPr>
        <w:t>由承办院校安排</w:t>
      </w:r>
      <w:r>
        <w:rPr>
          <w:rFonts w:cs="Times New Roman"/>
          <w:color w:val="auto"/>
        </w:rPr>
        <w:t>，观摩人员在观摩期间，不得吸烟，不得携带水或液体食品进入观摩区。</w:t>
      </w:r>
    </w:p>
    <w:p>
      <w:pPr>
        <w:spacing w:beforeLines="50"/>
        <w:ind w:firstLine="0" w:firstLineChars="0"/>
        <w:rPr>
          <w:rFonts w:ascii="仿宋" w:hAnsi="仿宋" w:cs="仿宋"/>
          <w:b/>
          <w:color w:val="auto"/>
          <w:szCs w:val="24"/>
        </w:rPr>
      </w:pPr>
      <w:r>
        <w:rPr>
          <w:rFonts w:hint="eastAsia" w:ascii="仿宋" w:hAnsi="仿宋" w:cs="仿宋"/>
          <w:b/>
          <w:color w:val="auto"/>
          <w:szCs w:val="24"/>
        </w:rPr>
        <w:t>十八、竞赛直播</w:t>
      </w:r>
    </w:p>
    <w:p>
      <w:pPr>
        <w:ind w:firstLine="480"/>
        <w:rPr>
          <w:rFonts w:cs="Times New Roman"/>
          <w:color w:val="auto"/>
        </w:rPr>
      </w:pPr>
      <w:r>
        <w:rPr>
          <w:rFonts w:cs="Times New Roman"/>
          <w:color w:val="auto"/>
        </w:rPr>
        <w:t>1.赛场内部署无盲点录像设备，能实时录制并播送赛场情况；</w:t>
      </w:r>
    </w:p>
    <w:p>
      <w:pPr>
        <w:ind w:firstLine="480"/>
        <w:rPr>
          <w:rFonts w:cs="Times New Roman"/>
          <w:i/>
          <w:color w:val="auto"/>
        </w:rPr>
      </w:pPr>
      <w:r>
        <w:rPr>
          <w:rFonts w:cs="Times New Roman"/>
          <w:color w:val="auto"/>
        </w:rPr>
        <w:t>2.赛场外有大屏幕或投影，同步显示赛场内竞赛状况；</w:t>
      </w:r>
    </w:p>
    <w:p>
      <w:pPr>
        <w:ind w:firstLine="480"/>
        <w:rPr>
          <w:rFonts w:cs="Times New Roman"/>
          <w:color w:val="auto"/>
        </w:rPr>
      </w:pPr>
      <w:r>
        <w:rPr>
          <w:rFonts w:cs="Times New Roman"/>
          <w:color w:val="auto"/>
        </w:rPr>
        <w:t>3.条件允许时，</w:t>
      </w:r>
      <w:r>
        <w:rPr>
          <w:rFonts w:hint="eastAsia" w:cs="Times New Roman"/>
          <w:color w:val="auto"/>
        </w:rPr>
        <w:t>本赛项</w:t>
      </w:r>
      <w:r>
        <w:rPr>
          <w:rFonts w:cs="Times New Roman"/>
          <w:color w:val="auto"/>
        </w:rPr>
        <w:t>进行网上直播。</w:t>
      </w:r>
    </w:p>
    <w:p>
      <w:pPr>
        <w:spacing w:beforeLines="50"/>
        <w:ind w:firstLine="0" w:firstLineChars="0"/>
        <w:rPr>
          <w:rFonts w:ascii="仿宋" w:hAnsi="仿宋" w:cs="仿宋"/>
          <w:b/>
          <w:color w:val="auto"/>
          <w:szCs w:val="24"/>
        </w:rPr>
      </w:pPr>
      <w:r>
        <w:rPr>
          <w:rFonts w:hint="eastAsia" w:ascii="仿宋" w:hAnsi="仿宋" w:cs="仿宋"/>
          <w:b/>
          <w:color w:val="auto"/>
          <w:szCs w:val="24"/>
        </w:rPr>
        <w:t>十九、其他</w:t>
      </w:r>
    </w:p>
    <w:p>
      <w:pPr>
        <w:ind w:firstLine="480"/>
        <w:rPr>
          <w:color w:val="auto"/>
          <w:szCs w:val="24"/>
        </w:rPr>
      </w:pPr>
      <w:r>
        <w:rPr>
          <w:color w:val="auto"/>
          <w:szCs w:val="24"/>
        </w:rPr>
        <w:t>1.</w:t>
      </w:r>
      <w:r>
        <w:rPr>
          <w:rFonts w:hint="eastAsia"/>
          <w:color w:val="auto"/>
          <w:szCs w:val="24"/>
        </w:rPr>
        <w:t>参赛选手及相关工作人员，由赛项承办院校赛统一安排食宿，费用自理。</w:t>
      </w:r>
    </w:p>
    <w:p>
      <w:pPr>
        <w:ind w:firstLine="480"/>
        <w:rPr>
          <w:color w:val="auto"/>
          <w:szCs w:val="24"/>
        </w:rPr>
      </w:pPr>
      <w:r>
        <w:rPr>
          <w:color w:val="auto"/>
          <w:szCs w:val="24"/>
        </w:rPr>
        <w:t>2.</w:t>
      </w:r>
      <w:r>
        <w:rPr>
          <w:rFonts w:hint="eastAsia"/>
          <w:color w:val="auto"/>
          <w:szCs w:val="24"/>
        </w:rPr>
        <w:t>本技术文件的最终解释权归大赛组织委员会。</w:t>
      </w:r>
    </w:p>
    <w:p>
      <w:pPr>
        <w:ind w:firstLine="480"/>
        <w:rPr>
          <w:color w:val="auto"/>
          <w:szCs w:val="24"/>
        </w:rPr>
      </w:pPr>
    </w:p>
    <w:p>
      <w:pPr>
        <w:snapToGrid w:val="0"/>
        <w:spacing w:line="540" w:lineRule="exact"/>
        <w:ind w:firstLine="0" w:firstLineChars="0"/>
        <w:rPr>
          <w:rFonts w:ascii="仿宋" w:hAnsi="仿宋" w:cs="仿宋"/>
          <w:bCs/>
          <w:color w:val="auto"/>
          <w:szCs w:val="24"/>
        </w:rPr>
      </w:pPr>
    </w:p>
    <w:p>
      <w:pPr>
        <w:snapToGrid w:val="0"/>
        <w:spacing w:line="540" w:lineRule="exact"/>
        <w:ind w:firstLine="0" w:firstLineChars="0"/>
        <w:rPr>
          <w:rFonts w:ascii="仿宋" w:hAnsi="仿宋" w:cs="仿宋"/>
          <w:bCs/>
          <w:color w:val="auto"/>
          <w:szCs w:val="24"/>
        </w:rPr>
      </w:pPr>
    </w:p>
    <w:p>
      <w:pPr>
        <w:snapToGrid w:val="0"/>
        <w:spacing w:line="540" w:lineRule="exact"/>
        <w:ind w:firstLine="0" w:firstLineChars="0"/>
        <w:rPr>
          <w:rFonts w:ascii="仿宋" w:hAnsi="仿宋" w:cs="仿宋"/>
          <w:bCs/>
          <w:color w:val="auto"/>
          <w:szCs w:val="24"/>
        </w:rPr>
      </w:pPr>
    </w:p>
    <w:p>
      <w:pPr>
        <w:snapToGrid w:val="0"/>
        <w:spacing w:line="540" w:lineRule="exact"/>
        <w:ind w:firstLine="0" w:firstLineChars="0"/>
        <w:rPr>
          <w:rFonts w:ascii="仿宋" w:hAnsi="仿宋" w:cs="仿宋"/>
          <w:bCs/>
          <w:color w:val="auto"/>
          <w:szCs w:val="24"/>
        </w:rPr>
      </w:pPr>
    </w:p>
    <w:p>
      <w:pPr>
        <w:snapToGrid w:val="0"/>
        <w:spacing w:line="540" w:lineRule="exact"/>
        <w:ind w:firstLine="0" w:firstLineChars="0"/>
        <w:rPr>
          <w:rFonts w:ascii="仿宋" w:hAnsi="仿宋" w:cs="仿宋"/>
          <w:bCs/>
          <w:color w:val="auto"/>
          <w:szCs w:val="24"/>
        </w:rPr>
      </w:pPr>
    </w:p>
    <w:p>
      <w:pPr>
        <w:snapToGrid w:val="0"/>
        <w:spacing w:line="540" w:lineRule="exact"/>
        <w:ind w:firstLine="0" w:firstLineChars="0"/>
        <w:rPr>
          <w:rFonts w:ascii="仿宋" w:hAnsi="仿宋" w:cs="仿宋"/>
          <w:bCs/>
          <w:color w:val="auto"/>
          <w:szCs w:val="24"/>
        </w:rPr>
      </w:pPr>
    </w:p>
    <w:p>
      <w:pPr>
        <w:snapToGrid w:val="0"/>
        <w:spacing w:line="540" w:lineRule="exact"/>
        <w:ind w:firstLine="0" w:firstLineChars="0"/>
        <w:rPr>
          <w:rFonts w:ascii="仿宋" w:hAnsi="仿宋" w:cs="仿宋"/>
          <w:bCs/>
          <w:color w:val="auto"/>
          <w:szCs w:val="24"/>
        </w:rPr>
      </w:pPr>
    </w:p>
    <w:p>
      <w:pPr>
        <w:snapToGrid w:val="0"/>
        <w:spacing w:line="540" w:lineRule="exact"/>
        <w:ind w:firstLine="0" w:firstLineChars="0"/>
        <w:rPr>
          <w:rFonts w:ascii="仿宋" w:hAnsi="仿宋" w:cs="仿宋"/>
          <w:bCs/>
          <w:color w:val="auto"/>
          <w:szCs w:val="24"/>
        </w:rPr>
      </w:pPr>
    </w:p>
    <w:p>
      <w:pPr>
        <w:snapToGrid w:val="0"/>
        <w:spacing w:line="540" w:lineRule="exact"/>
        <w:ind w:firstLine="0" w:firstLineChars="0"/>
        <w:rPr>
          <w:rFonts w:ascii="仿宋" w:hAnsi="仿宋" w:cs="仿宋"/>
          <w:bCs/>
          <w:color w:val="auto"/>
          <w:szCs w:val="24"/>
        </w:rPr>
      </w:pPr>
    </w:p>
    <w:p>
      <w:pPr>
        <w:snapToGrid w:val="0"/>
        <w:spacing w:line="540" w:lineRule="exact"/>
        <w:ind w:firstLine="0" w:firstLineChars="0"/>
        <w:rPr>
          <w:rFonts w:ascii="仿宋" w:hAnsi="仿宋" w:cs="仿宋"/>
          <w:bCs/>
          <w:color w:val="auto"/>
          <w:szCs w:val="24"/>
        </w:rPr>
      </w:pPr>
    </w:p>
    <w:p>
      <w:pPr>
        <w:snapToGrid w:val="0"/>
        <w:spacing w:line="540" w:lineRule="exact"/>
        <w:ind w:firstLine="0" w:firstLineChars="0"/>
        <w:rPr>
          <w:rFonts w:ascii="仿宋" w:hAnsi="仿宋" w:cs="仿宋"/>
          <w:bCs/>
          <w:color w:val="auto"/>
          <w:szCs w:val="24"/>
        </w:rPr>
      </w:pPr>
    </w:p>
    <w:p>
      <w:pPr>
        <w:snapToGrid w:val="0"/>
        <w:ind w:firstLine="0" w:firstLineChars="0"/>
        <w:rPr>
          <w:rFonts w:hint="eastAsia" w:ascii="黑体" w:hAnsi="黑体" w:eastAsia="黑体"/>
          <w:b/>
          <w:bCs/>
          <w:color w:val="auto"/>
          <w:szCs w:val="24"/>
        </w:rPr>
      </w:pPr>
    </w:p>
    <w:p>
      <w:pPr>
        <w:snapToGrid w:val="0"/>
        <w:ind w:firstLine="0" w:firstLineChars="0"/>
        <w:rPr>
          <w:rFonts w:hint="eastAsia"/>
          <w:b/>
          <w:bCs/>
          <w:color w:val="auto"/>
          <w:szCs w:val="24"/>
        </w:rPr>
      </w:pPr>
      <w:r>
        <w:rPr>
          <w:rFonts w:hint="eastAsia" w:ascii="黑体" w:hAnsi="黑体" w:eastAsia="黑体"/>
          <w:b/>
          <w:bCs/>
          <w:color w:val="auto"/>
          <w:szCs w:val="24"/>
        </w:rPr>
        <w:t>特别提醒：</w:t>
      </w:r>
    </w:p>
    <w:p>
      <w:pPr>
        <w:snapToGrid w:val="0"/>
        <w:ind w:firstLine="482"/>
        <w:rPr>
          <w:rFonts w:hint="eastAsia" w:ascii="仿宋" w:hAnsi="仿宋" w:cs="仿宋"/>
          <w:bCs/>
          <w:color w:val="auto"/>
          <w:szCs w:val="24"/>
        </w:rPr>
      </w:pPr>
      <w:r>
        <w:rPr>
          <w:rFonts w:hint="eastAsia"/>
          <w:b/>
          <w:bCs/>
          <w:color w:val="auto"/>
          <w:szCs w:val="24"/>
        </w:rPr>
        <w:t>竞赛规程提供的样卷，是竞赛规程的有效组成部分，辅助说明竞赛的内容组成、竞赛过程等，使参赛选手对本赛项建立起直观形象。所提供图形仅供训练参考，非竞赛用图。竞赛时的正式赛卷与本样卷有一定程度的修改。</w:t>
      </w:r>
    </w:p>
    <w:p>
      <w:pPr>
        <w:snapToGrid w:val="0"/>
        <w:spacing w:line="540" w:lineRule="exact"/>
        <w:ind w:firstLine="0" w:firstLineChars="0"/>
        <w:rPr>
          <w:rFonts w:ascii="仿宋" w:hAnsi="仿宋" w:cs="仿宋"/>
          <w:bCs/>
          <w:color w:val="auto"/>
          <w:szCs w:val="24"/>
        </w:rPr>
      </w:pPr>
      <w:r>
        <w:rPr>
          <w:rFonts w:hint="eastAsia" w:ascii="仿宋" w:hAnsi="仿宋" w:cs="仿宋"/>
          <w:bCs/>
          <w:color w:val="auto"/>
          <w:szCs w:val="24"/>
        </w:rPr>
        <w:t>附件一、学生组、教师组赛卷样卷</w:t>
      </w:r>
    </w:p>
    <w:p>
      <w:pPr>
        <w:pStyle w:val="18"/>
        <w:spacing w:line="240" w:lineRule="auto"/>
        <w:ind w:firstLine="562"/>
        <w:jc w:val="center"/>
        <w:rPr>
          <w:rFonts w:hint="eastAsia"/>
          <w:b/>
          <w:color w:val="auto"/>
          <w:szCs w:val="28"/>
        </w:rPr>
      </w:pPr>
    </w:p>
    <w:p>
      <w:pPr>
        <w:pStyle w:val="18"/>
        <w:spacing w:line="240" w:lineRule="auto"/>
        <w:ind w:firstLine="562"/>
        <w:jc w:val="center"/>
        <w:rPr>
          <w:b/>
          <w:color w:val="auto"/>
          <w:szCs w:val="28"/>
        </w:rPr>
      </w:pPr>
      <w:r>
        <w:rPr>
          <w:rFonts w:hint="eastAsia"/>
          <w:b/>
          <w:color w:val="auto"/>
          <w:szCs w:val="28"/>
        </w:rPr>
        <w:t>2023年江苏省职业学校技能大赛</w:t>
      </w:r>
    </w:p>
    <w:p>
      <w:pPr>
        <w:pStyle w:val="18"/>
        <w:spacing w:line="240" w:lineRule="auto"/>
        <w:ind w:firstLine="562"/>
        <w:jc w:val="center"/>
        <w:rPr>
          <w:rFonts w:cs="IDÑ˛"/>
          <w:b/>
          <w:color w:val="auto"/>
          <w:kern w:val="0"/>
          <w:szCs w:val="28"/>
        </w:rPr>
      </w:pPr>
      <w:r>
        <w:rPr>
          <w:rFonts w:hint="eastAsia"/>
          <w:b/>
          <w:color w:val="auto"/>
          <w:szCs w:val="28"/>
        </w:rPr>
        <w:t>学生组、教师组</w:t>
      </w:r>
      <w:r>
        <w:rPr>
          <w:b/>
          <w:color w:val="auto"/>
          <w:szCs w:val="28"/>
        </w:rPr>
        <w:t>建筑装饰技能赛项</w:t>
      </w:r>
      <w:r>
        <w:rPr>
          <w:rFonts w:hint="eastAsia" w:cs="IDÑ˛"/>
          <w:b/>
          <w:color w:val="auto"/>
          <w:kern w:val="0"/>
          <w:szCs w:val="28"/>
        </w:rPr>
        <w:t>设计</w:t>
      </w:r>
      <w:r>
        <w:rPr>
          <w:rFonts w:cs="IDÑ˛"/>
          <w:b/>
          <w:color w:val="auto"/>
          <w:kern w:val="0"/>
          <w:szCs w:val="28"/>
        </w:rPr>
        <w:t>环节任务书</w:t>
      </w:r>
      <w:r>
        <w:rPr>
          <w:rFonts w:hint="eastAsia" w:cs="IDÑ˛"/>
          <w:b/>
          <w:color w:val="auto"/>
          <w:kern w:val="0"/>
          <w:szCs w:val="28"/>
        </w:rPr>
        <w:t>（样卷）</w:t>
      </w:r>
    </w:p>
    <w:p>
      <w:pPr>
        <w:pStyle w:val="18"/>
        <w:spacing w:line="240" w:lineRule="auto"/>
        <w:ind w:firstLine="480"/>
        <w:jc w:val="right"/>
        <w:rPr>
          <w:rFonts w:cs="IDÑ˛"/>
          <w:color w:val="auto"/>
          <w:kern w:val="0"/>
          <w:sz w:val="24"/>
          <w:szCs w:val="24"/>
        </w:rPr>
      </w:pPr>
      <w:r>
        <w:rPr>
          <w:rFonts w:cs="IDÑ˛"/>
          <w:color w:val="auto"/>
          <w:kern w:val="0"/>
          <w:sz w:val="24"/>
          <w:szCs w:val="24"/>
        </w:rPr>
        <w:t>工位号：____________</w:t>
      </w:r>
    </w:p>
    <w:p>
      <w:pPr>
        <w:pStyle w:val="18"/>
        <w:spacing w:line="240" w:lineRule="auto"/>
        <w:ind w:firstLine="482"/>
        <w:rPr>
          <w:b/>
          <w:color w:val="auto"/>
          <w:sz w:val="24"/>
          <w:szCs w:val="24"/>
        </w:rPr>
      </w:pPr>
      <w:r>
        <w:rPr>
          <w:b/>
          <w:color w:val="auto"/>
          <w:sz w:val="24"/>
          <w:szCs w:val="24"/>
        </w:rPr>
        <w:t>一、竞赛</w:t>
      </w:r>
      <w:r>
        <w:rPr>
          <w:rFonts w:hint="eastAsia"/>
          <w:b/>
          <w:color w:val="auto"/>
          <w:sz w:val="24"/>
          <w:szCs w:val="24"/>
        </w:rPr>
        <w:t>须知</w:t>
      </w:r>
    </w:p>
    <w:p>
      <w:pPr>
        <w:pStyle w:val="18"/>
        <w:spacing w:line="240" w:lineRule="auto"/>
        <w:ind w:firstLine="480"/>
        <w:rPr>
          <w:color w:val="auto"/>
          <w:sz w:val="24"/>
          <w:szCs w:val="24"/>
        </w:rPr>
      </w:pPr>
      <w:r>
        <w:rPr>
          <w:rFonts w:hint="eastAsia"/>
          <w:color w:val="auto"/>
          <w:sz w:val="24"/>
          <w:szCs w:val="24"/>
        </w:rPr>
        <w:t>1、本竞赛环节为个人竞技项目，本环节成果作为施工操作环节的依据，每个队的</w:t>
      </w:r>
      <w:r>
        <w:rPr>
          <w:color w:val="auto"/>
          <w:sz w:val="24"/>
          <w:szCs w:val="24"/>
        </w:rPr>
        <w:t>2名选手分别独立完成“瓷砖镶贴设计”和“纸面石膏板隔墙设计”，</w:t>
      </w:r>
      <w:r>
        <w:rPr>
          <w:rFonts w:hint="eastAsia"/>
          <w:color w:val="auto"/>
          <w:sz w:val="24"/>
          <w:szCs w:val="24"/>
        </w:rPr>
        <w:t>每项设计标准分为</w:t>
      </w:r>
      <w:r>
        <w:rPr>
          <w:color w:val="auto"/>
          <w:sz w:val="24"/>
          <w:szCs w:val="24"/>
        </w:rPr>
        <w:t>100</w:t>
      </w:r>
      <w:r>
        <w:rPr>
          <w:rFonts w:hint="eastAsia"/>
          <w:color w:val="auto"/>
          <w:sz w:val="24"/>
          <w:szCs w:val="24"/>
        </w:rPr>
        <w:t>分。</w:t>
      </w:r>
    </w:p>
    <w:p>
      <w:pPr>
        <w:pStyle w:val="18"/>
        <w:spacing w:line="240" w:lineRule="auto"/>
        <w:ind w:firstLine="480"/>
        <w:rPr>
          <w:color w:val="auto"/>
          <w:sz w:val="24"/>
          <w:szCs w:val="24"/>
        </w:rPr>
      </w:pPr>
      <w:r>
        <w:rPr>
          <w:color w:val="auto"/>
          <w:sz w:val="24"/>
          <w:szCs w:val="24"/>
        </w:rPr>
        <w:t>2</w:t>
      </w:r>
      <w:r>
        <w:rPr>
          <w:rFonts w:hint="eastAsia"/>
          <w:color w:val="auto"/>
          <w:sz w:val="24"/>
          <w:szCs w:val="24"/>
        </w:rPr>
        <w:t>、</w:t>
      </w:r>
      <w:r>
        <w:rPr>
          <w:color w:val="auto"/>
          <w:sz w:val="24"/>
          <w:szCs w:val="24"/>
        </w:rPr>
        <w:t>本竞赛环节总时长为连续240分钟</w:t>
      </w:r>
      <w:r>
        <w:rPr>
          <w:rFonts w:hint="eastAsia"/>
          <w:color w:val="auto"/>
          <w:sz w:val="24"/>
          <w:szCs w:val="24"/>
        </w:rPr>
        <w:t>（不含工位测量、成果打印）</w:t>
      </w:r>
      <w:r>
        <w:rPr>
          <w:color w:val="auto"/>
          <w:sz w:val="24"/>
          <w:szCs w:val="24"/>
        </w:rPr>
        <w:t>。</w:t>
      </w:r>
    </w:p>
    <w:p>
      <w:pPr>
        <w:pStyle w:val="18"/>
        <w:spacing w:line="240" w:lineRule="auto"/>
        <w:ind w:firstLine="480"/>
        <w:rPr>
          <w:color w:val="auto"/>
          <w:sz w:val="24"/>
          <w:szCs w:val="24"/>
        </w:rPr>
      </w:pPr>
      <w:r>
        <w:rPr>
          <w:color w:val="auto"/>
          <w:sz w:val="24"/>
          <w:szCs w:val="24"/>
        </w:rPr>
        <w:t>3</w:t>
      </w:r>
      <w:r>
        <w:rPr>
          <w:rFonts w:hint="eastAsia"/>
          <w:color w:val="auto"/>
          <w:sz w:val="24"/>
          <w:szCs w:val="24"/>
        </w:rPr>
        <w:t>、</w:t>
      </w:r>
      <w:r>
        <w:rPr>
          <w:color w:val="auto"/>
          <w:sz w:val="24"/>
          <w:szCs w:val="24"/>
        </w:rPr>
        <w:t>请在开赛前规定时间内，仔细</w:t>
      </w:r>
      <w:r>
        <w:rPr>
          <w:rFonts w:hint="eastAsia"/>
          <w:color w:val="auto"/>
          <w:sz w:val="24"/>
          <w:szCs w:val="24"/>
        </w:rPr>
        <w:t>测量工位现场，画出草图，</w:t>
      </w:r>
      <w:r>
        <w:rPr>
          <w:color w:val="auto"/>
          <w:sz w:val="24"/>
          <w:szCs w:val="24"/>
        </w:rPr>
        <w:t>清点赛场提供的工具、 材料</w:t>
      </w:r>
      <w:r>
        <w:rPr>
          <w:rFonts w:hint="eastAsia"/>
          <w:color w:val="auto"/>
          <w:sz w:val="24"/>
          <w:szCs w:val="24"/>
        </w:rPr>
        <w:t>、</w:t>
      </w:r>
      <w:r>
        <w:rPr>
          <w:color w:val="auto"/>
          <w:sz w:val="24"/>
          <w:szCs w:val="24"/>
        </w:rPr>
        <w:t>设备等</w:t>
      </w:r>
      <w:r>
        <w:rPr>
          <w:rFonts w:hint="eastAsia"/>
          <w:color w:val="auto"/>
          <w:sz w:val="24"/>
          <w:szCs w:val="24"/>
        </w:rPr>
        <w:t>等是否有缺失、损坏，如有上述情况及时报告现场裁判，根据提供的材料进行相应任务的设计</w:t>
      </w:r>
      <w:r>
        <w:rPr>
          <w:color w:val="auto"/>
          <w:sz w:val="24"/>
          <w:szCs w:val="24"/>
        </w:rPr>
        <w:t>。</w:t>
      </w:r>
    </w:p>
    <w:p>
      <w:pPr>
        <w:pStyle w:val="18"/>
        <w:spacing w:line="240" w:lineRule="auto"/>
        <w:ind w:firstLine="480"/>
        <w:rPr>
          <w:color w:val="auto"/>
          <w:sz w:val="24"/>
          <w:szCs w:val="24"/>
        </w:rPr>
      </w:pPr>
      <w:r>
        <w:rPr>
          <w:color w:val="auto"/>
          <w:sz w:val="24"/>
          <w:szCs w:val="24"/>
        </w:rPr>
        <w:t>4</w:t>
      </w:r>
      <w:r>
        <w:rPr>
          <w:rFonts w:hint="eastAsia"/>
          <w:color w:val="auto"/>
          <w:sz w:val="24"/>
          <w:szCs w:val="24"/>
        </w:rPr>
        <w:t>、</w:t>
      </w:r>
      <w:r>
        <w:rPr>
          <w:color w:val="auto"/>
          <w:sz w:val="24"/>
          <w:szCs w:val="24"/>
        </w:rPr>
        <w:t>自带工具</w:t>
      </w:r>
      <w:r>
        <w:rPr>
          <w:rFonts w:hint="eastAsia"/>
          <w:color w:val="auto"/>
          <w:sz w:val="24"/>
          <w:szCs w:val="24"/>
        </w:rPr>
        <w:t>测量，对测量导致的误差由选手自行负责。</w:t>
      </w:r>
    </w:p>
    <w:p>
      <w:pPr>
        <w:pStyle w:val="18"/>
        <w:spacing w:line="240" w:lineRule="auto"/>
        <w:ind w:firstLine="480"/>
        <w:rPr>
          <w:color w:val="auto"/>
          <w:sz w:val="24"/>
          <w:szCs w:val="24"/>
        </w:rPr>
      </w:pPr>
      <w:r>
        <w:rPr>
          <w:color w:val="auto"/>
          <w:sz w:val="24"/>
          <w:szCs w:val="24"/>
        </w:rPr>
        <w:t>5</w:t>
      </w:r>
      <w:r>
        <w:rPr>
          <w:rFonts w:hint="eastAsia"/>
          <w:color w:val="auto"/>
          <w:sz w:val="24"/>
          <w:szCs w:val="24"/>
        </w:rPr>
        <w:t>、</w:t>
      </w:r>
      <w:r>
        <w:rPr>
          <w:color w:val="auto"/>
          <w:sz w:val="24"/>
          <w:szCs w:val="24"/>
        </w:rPr>
        <w:t>赛场提供的装饰材料已经过严格测算，并给出一定余量</w:t>
      </w:r>
      <w:r>
        <w:rPr>
          <w:rFonts w:hint="eastAsia"/>
          <w:color w:val="auto"/>
          <w:sz w:val="24"/>
          <w:szCs w:val="24"/>
        </w:rPr>
        <w:t>，</w:t>
      </w:r>
      <w:r>
        <w:rPr>
          <w:color w:val="auto"/>
          <w:sz w:val="24"/>
          <w:szCs w:val="24"/>
        </w:rPr>
        <w:t>竞</w:t>
      </w:r>
      <w:r>
        <w:rPr>
          <w:rFonts w:hint="eastAsia"/>
          <w:color w:val="auto"/>
          <w:sz w:val="24"/>
          <w:szCs w:val="24"/>
        </w:rPr>
        <w:t>赛过</w:t>
      </w:r>
      <w:r>
        <w:rPr>
          <w:color w:val="auto"/>
          <w:sz w:val="24"/>
          <w:szCs w:val="24"/>
        </w:rPr>
        <w:t>程中将不再提供额外材料。</w:t>
      </w:r>
    </w:p>
    <w:p>
      <w:pPr>
        <w:spacing w:line="240" w:lineRule="auto"/>
        <w:ind w:firstLine="480"/>
        <w:rPr>
          <w:rFonts w:ascii="仿宋" w:hAnsi="仿宋"/>
          <w:color w:val="auto"/>
          <w:szCs w:val="24"/>
        </w:rPr>
      </w:pPr>
      <w:r>
        <w:rPr>
          <w:rFonts w:hint="eastAsia" w:ascii="仿宋" w:hAnsi="仿宋"/>
          <w:color w:val="auto"/>
          <w:szCs w:val="24"/>
        </w:rPr>
        <w:t>6、图纸打印</w:t>
      </w:r>
    </w:p>
    <w:p>
      <w:pPr>
        <w:spacing w:line="240" w:lineRule="auto"/>
        <w:ind w:firstLine="480"/>
        <w:rPr>
          <w:rFonts w:ascii="仿宋" w:hAnsi="仿宋"/>
          <w:color w:val="auto"/>
          <w:szCs w:val="24"/>
        </w:rPr>
      </w:pPr>
      <w:r>
        <w:rPr>
          <w:rFonts w:hint="eastAsia" w:ascii="仿宋" w:hAnsi="仿宋"/>
          <w:color w:val="auto"/>
          <w:szCs w:val="24"/>
        </w:rPr>
        <w:t>虚拟打印应为pdf格式，比例自定。同时，由裁判打印一份图纸，选手签认后分别装订、密封，并签字（机位号）。</w:t>
      </w:r>
    </w:p>
    <w:p>
      <w:pPr>
        <w:pStyle w:val="18"/>
        <w:spacing w:line="240" w:lineRule="auto"/>
        <w:ind w:firstLine="480"/>
        <w:rPr>
          <w:color w:val="auto"/>
          <w:sz w:val="24"/>
          <w:szCs w:val="24"/>
        </w:rPr>
      </w:pPr>
      <w:r>
        <w:rPr>
          <w:rFonts w:hint="eastAsia"/>
          <w:color w:val="auto"/>
          <w:sz w:val="24"/>
          <w:szCs w:val="24"/>
        </w:rPr>
        <w:t>7、文件夹、设计成果文件的命名和存储</w:t>
      </w:r>
    </w:p>
    <w:p>
      <w:pPr>
        <w:pStyle w:val="18"/>
        <w:spacing w:line="240" w:lineRule="auto"/>
        <w:ind w:firstLine="480"/>
        <w:rPr>
          <w:color w:val="auto"/>
          <w:sz w:val="24"/>
          <w:szCs w:val="24"/>
        </w:rPr>
      </w:pPr>
      <w:r>
        <w:rPr>
          <w:rFonts w:hint="eastAsia"/>
          <w:color w:val="auto"/>
          <w:sz w:val="24"/>
          <w:szCs w:val="24"/>
        </w:rPr>
        <w:t>（1）文件夹命名</w:t>
      </w:r>
    </w:p>
    <w:p>
      <w:pPr>
        <w:spacing w:line="240" w:lineRule="auto"/>
        <w:ind w:firstLine="420" w:firstLineChars="175"/>
        <w:rPr>
          <w:rFonts w:ascii="仿宋" w:hAnsi="仿宋"/>
          <w:color w:val="auto"/>
          <w:szCs w:val="24"/>
        </w:rPr>
      </w:pPr>
      <w:r>
        <w:rPr>
          <w:rFonts w:hint="eastAsia" w:ascii="仿宋" w:hAnsi="仿宋"/>
          <w:color w:val="auto"/>
          <w:szCs w:val="24"/>
        </w:rPr>
        <w:t>在电脑指定盘根目录下建立一个文件夹，按照参赛选手抽取的机位号命名，格式为“机位号+墙面瓷砖镶贴设计图”或“机位号+轻钢龙骨纸面石膏板隔墙设计图”。设计成果文件保存在文件夹中。</w:t>
      </w:r>
    </w:p>
    <w:p>
      <w:pPr>
        <w:spacing w:line="240" w:lineRule="auto"/>
        <w:ind w:firstLine="480"/>
        <w:rPr>
          <w:rFonts w:ascii="仿宋" w:hAnsi="仿宋"/>
          <w:color w:val="auto"/>
          <w:szCs w:val="24"/>
        </w:rPr>
      </w:pPr>
      <w:r>
        <w:rPr>
          <w:rFonts w:hint="eastAsia" w:ascii="仿宋" w:hAnsi="仿宋"/>
          <w:color w:val="auto"/>
          <w:szCs w:val="24"/>
        </w:rPr>
        <w:t>（2）设计成果文件的命名</w:t>
      </w:r>
    </w:p>
    <w:p>
      <w:pPr>
        <w:spacing w:line="240" w:lineRule="auto"/>
        <w:ind w:firstLine="480"/>
        <w:rPr>
          <w:rFonts w:ascii="仿宋" w:hAnsi="仿宋"/>
          <w:color w:val="auto"/>
          <w:szCs w:val="24"/>
        </w:rPr>
      </w:pPr>
      <w:r>
        <w:rPr>
          <w:rFonts w:hint="eastAsia" w:ascii="仿宋" w:hAnsi="仿宋"/>
          <w:color w:val="auto"/>
          <w:szCs w:val="24"/>
        </w:rPr>
        <w:t>设计成果文件以图纸内容命名，示例如下：</w:t>
      </w:r>
    </w:p>
    <w:p>
      <w:pPr>
        <w:spacing w:line="240" w:lineRule="auto"/>
        <w:ind w:firstLine="480"/>
        <w:rPr>
          <w:rFonts w:ascii="仿宋" w:hAnsi="仿宋"/>
          <w:color w:val="auto"/>
          <w:szCs w:val="24"/>
        </w:rPr>
      </w:pPr>
      <w:r>
        <w:rPr>
          <w:rFonts w:hint="eastAsia" w:ascii="仿宋" w:hAnsi="仿宋"/>
          <w:color w:val="auto"/>
          <w:szCs w:val="24"/>
        </w:rPr>
        <w:t>①图形（dwg）文件命名示例：“墙面瓷砖镶贴设计.dwg”、“轻钢龙骨纸面石膏板隔墙设计.dwg”。</w:t>
      </w:r>
    </w:p>
    <w:p>
      <w:pPr>
        <w:spacing w:line="240" w:lineRule="auto"/>
        <w:ind w:firstLine="480"/>
        <w:rPr>
          <w:rFonts w:ascii="仿宋" w:hAnsi="仿宋"/>
          <w:color w:val="auto"/>
          <w:szCs w:val="24"/>
        </w:rPr>
      </w:pPr>
      <w:r>
        <w:rPr>
          <w:rFonts w:hint="eastAsia" w:ascii="仿宋" w:hAnsi="仿宋"/>
          <w:color w:val="auto"/>
          <w:szCs w:val="24"/>
        </w:rPr>
        <w:t>②图形（pdf）文件命名示例：“封面.pdf”、“目录.pdf”、“设计说明.pdf”、“立面图.pdf”、“剖面图.pdf”、“节点详图.pdf”等。多个图纸内容合并在一张图纸里面的，应以排在最前面的内容命名，如设计说明和图例放在一张图里面，可以命名为“设计说明.pdf”。</w:t>
      </w:r>
    </w:p>
    <w:p>
      <w:pPr>
        <w:pStyle w:val="18"/>
        <w:spacing w:line="240" w:lineRule="auto"/>
        <w:ind w:firstLine="480"/>
        <w:rPr>
          <w:color w:val="auto"/>
          <w:sz w:val="24"/>
          <w:szCs w:val="24"/>
        </w:rPr>
      </w:pPr>
      <w:r>
        <w:rPr>
          <w:rFonts w:hint="eastAsia"/>
          <w:color w:val="auto"/>
          <w:sz w:val="24"/>
          <w:szCs w:val="24"/>
        </w:rPr>
        <w:t>8、</w:t>
      </w:r>
      <w:r>
        <w:rPr>
          <w:color w:val="auto"/>
          <w:sz w:val="24"/>
          <w:szCs w:val="24"/>
        </w:rPr>
        <w:t>绘图要求</w:t>
      </w:r>
    </w:p>
    <w:p>
      <w:pPr>
        <w:pStyle w:val="18"/>
        <w:spacing w:line="240" w:lineRule="auto"/>
        <w:ind w:firstLine="480"/>
        <w:rPr>
          <w:color w:val="auto"/>
          <w:sz w:val="24"/>
          <w:szCs w:val="24"/>
        </w:rPr>
      </w:pPr>
      <w:r>
        <w:rPr>
          <w:rFonts w:hint="eastAsia"/>
          <w:color w:val="auto"/>
          <w:sz w:val="24"/>
          <w:szCs w:val="24"/>
        </w:rPr>
        <w:t>（</w:t>
      </w:r>
      <w:r>
        <w:rPr>
          <w:color w:val="auto"/>
          <w:sz w:val="24"/>
          <w:szCs w:val="24"/>
        </w:rPr>
        <w:t>1）比例：按1：1绘图；按1：100布局，并锁定比例。</w:t>
      </w:r>
    </w:p>
    <w:p>
      <w:pPr>
        <w:pStyle w:val="18"/>
        <w:spacing w:line="240" w:lineRule="auto"/>
        <w:ind w:firstLine="480"/>
        <w:rPr>
          <w:color w:val="auto"/>
          <w:sz w:val="24"/>
          <w:szCs w:val="24"/>
        </w:rPr>
      </w:pPr>
      <w:r>
        <w:rPr>
          <w:rFonts w:hint="eastAsia"/>
          <w:color w:val="auto"/>
          <w:sz w:val="24"/>
          <w:szCs w:val="24"/>
        </w:rPr>
        <w:t>（</w:t>
      </w:r>
      <w:r>
        <w:rPr>
          <w:color w:val="auto"/>
          <w:sz w:val="24"/>
          <w:szCs w:val="24"/>
        </w:rPr>
        <w:t>2）文字设置</w:t>
      </w:r>
    </w:p>
    <w:p>
      <w:pPr>
        <w:pStyle w:val="18"/>
        <w:spacing w:line="240" w:lineRule="auto"/>
        <w:ind w:firstLine="480"/>
        <w:rPr>
          <w:color w:val="auto"/>
          <w:sz w:val="24"/>
          <w:szCs w:val="24"/>
        </w:rPr>
      </w:pPr>
      <w:r>
        <w:rPr>
          <w:rFonts w:hint="eastAsia"/>
          <w:color w:val="auto"/>
          <w:sz w:val="24"/>
          <w:szCs w:val="24"/>
        </w:rPr>
        <w:t>设置两个文字样式，分别用于“汉字”和“数字和字母”的注释，所有字体均为直体字，宽度因子为</w:t>
      </w:r>
      <w:r>
        <w:rPr>
          <w:color w:val="auto"/>
          <w:sz w:val="24"/>
          <w:szCs w:val="24"/>
        </w:rPr>
        <w:t xml:space="preserve"> 0.7。其中</w:t>
      </w:r>
      <w:r>
        <w:rPr>
          <w:rFonts w:hint="eastAsia"/>
          <w:color w:val="auto"/>
          <w:sz w:val="24"/>
          <w:szCs w:val="24"/>
        </w:rPr>
        <w:t>用于“汉字”的文字样式命名为“汉字”，字体名选择“楷体”，语言为“</w:t>
      </w:r>
      <w:r>
        <w:rPr>
          <w:color w:val="auto"/>
          <w:sz w:val="24"/>
          <w:szCs w:val="24"/>
        </w:rPr>
        <w:t>CHINESE_GB2312”。</w:t>
      </w:r>
    </w:p>
    <w:p>
      <w:pPr>
        <w:pStyle w:val="18"/>
        <w:spacing w:line="240" w:lineRule="auto"/>
        <w:ind w:firstLine="480"/>
        <w:rPr>
          <w:color w:val="auto"/>
          <w:sz w:val="24"/>
          <w:szCs w:val="24"/>
        </w:rPr>
      </w:pPr>
      <w:r>
        <w:rPr>
          <w:rFonts w:hint="eastAsia"/>
          <w:color w:val="auto"/>
          <w:sz w:val="24"/>
          <w:szCs w:val="24"/>
        </w:rPr>
        <w:t>（</w:t>
      </w:r>
      <w:r>
        <w:rPr>
          <w:color w:val="auto"/>
          <w:sz w:val="24"/>
          <w:szCs w:val="24"/>
        </w:rPr>
        <w:t>3）图层要求：除以下要求外，其余图层自行设置，但应符合国家有关规范。</w:t>
      </w:r>
    </w:p>
    <w:p>
      <w:pPr>
        <w:pStyle w:val="18"/>
        <w:spacing w:line="240" w:lineRule="auto"/>
        <w:ind w:firstLine="480"/>
        <w:rPr>
          <w:color w:val="auto"/>
          <w:sz w:val="24"/>
          <w:szCs w:val="24"/>
        </w:rPr>
      </w:pPr>
      <w:r>
        <w:rPr>
          <w:rFonts w:hint="eastAsia"/>
          <w:color w:val="auto"/>
          <w:sz w:val="24"/>
          <w:szCs w:val="24"/>
        </w:rPr>
        <w:t>①修改“公</w:t>
      </w:r>
      <w:r>
        <w:rPr>
          <w:color w:val="auto"/>
          <w:sz w:val="24"/>
          <w:szCs w:val="24"/>
        </w:rPr>
        <w:t>-轴网”图层，线形选取单点长画线（GB_DOT3），并选取适当比例因子。用于定位轴网（应创建轴号），轴线不打印（剖面、节点详图保留轴号）。</w:t>
      </w:r>
    </w:p>
    <w:p>
      <w:pPr>
        <w:pStyle w:val="18"/>
        <w:spacing w:line="240" w:lineRule="auto"/>
        <w:ind w:firstLine="480"/>
        <w:rPr>
          <w:color w:val="auto"/>
          <w:sz w:val="24"/>
          <w:szCs w:val="24"/>
        </w:rPr>
      </w:pPr>
      <w:r>
        <w:rPr>
          <w:rFonts w:hint="eastAsia"/>
          <w:color w:val="auto"/>
          <w:sz w:val="24"/>
          <w:szCs w:val="24"/>
        </w:rPr>
        <w:t>②新建工位墙体图层，图层名称：工位墙体，图层颜色</w:t>
      </w:r>
      <w:r>
        <w:rPr>
          <w:color w:val="auto"/>
          <w:sz w:val="24"/>
          <w:szCs w:val="24"/>
        </w:rPr>
        <w:t>9，线形连续，线宽mm。用于工位砖（砌块）墙体绘制。</w:t>
      </w:r>
    </w:p>
    <w:p>
      <w:pPr>
        <w:pStyle w:val="18"/>
        <w:spacing w:line="240" w:lineRule="auto"/>
        <w:ind w:firstLine="480"/>
        <w:rPr>
          <w:color w:val="auto"/>
          <w:sz w:val="24"/>
          <w:szCs w:val="24"/>
        </w:rPr>
      </w:pPr>
      <w:r>
        <w:rPr>
          <w:rFonts w:hint="eastAsia"/>
          <w:color w:val="auto"/>
          <w:sz w:val="24"/>
          <w:szCs w:val="24"/>
        </w:rPr>
        <w:t>新建工位构配件图层，图层名称：工位构件，图层颜色</w:t>
      </w:r>
      <w:r>
        <w:rPr>
          <w:color w:val="auto"/>
          <w:sz w:val="24"/>
          <w:szCs w:val="24"/>
        </w:rPr>
        <w:t>4，线性连续，线宽mm，用于横梁、地台、施工隔离带、插座等的绘制。</w:t>
      </w:r>
    </w:p>
    <w:p>
      <w:pPr>
        <w:pStyle w:val="18"/>
        <w:spacing w:line="240" w:lineRule="auto"/>
        <w:ind w:firstLine="480"/>
        <w:rPr>
          <w:color w:val="auto"/>
          <w:sz w:val="24"/>
          <w:szCs w:val="24"/>
        </w:rPr>
      </w:pPr>
      <w:r>
        <w:rPr>
          <w:rFonts w:hint="eastAsia"/>
          <w:color w:val="auto"/>
          <w:sz w:val="24"/>
          <w:szCs w:val="24"/>
        </w:rPr>
        <w:t>③各瓷砖规格应分别创建图层，并归类，以方便裁判统计数量。</w:t>
      </w:r>
    </w:p>
    <w:p>
      <w:pPr>
        <w:pStyle w:val="18"/>
        <w:spacing w:line="240" w:lineRule="auto"/>
        <w:ind w:firstLine="480"/>
        <w:rPr>
          <w:color w:val="auto"/>
          <w:sz w:val="24"/>
          <w:szCs w:val="24"/>
        </w:rPr>
      </w:pPr>
      <w:r>
        <w:rPr>
          <w:rFonts w:hint="eastAsia"/>
          <w:color w:val="auto"/>
          <w:sz w:val="24"/>
          <w:szCs w:val="24"/>
        </w:rPr>
        <w:t>（</w:t>
      </w:r>
      <w:r>
        <w:rPr>
          <w:color w:val="auto"/>
          <w:sz w:val="24"/>
          <w:szCs w:val="24"/>
        </w:rPr>
        <w:t>4）标注样式与尺寸标注</w:t>
      </w:r>
    </w:p>
    <w:p>
      <w:pPr>
        <w:pStyle w:val="18"/>
        <w:spacing w:line="240" w:lineRule="auto"/>
        <w:ind w:firstLine="480"/>
        <w:rPr>
          <w:color w:val="auto"/>
          <w:sz w:val="24"/>
          <w:szCs w:val="24"/>
        </w:rPr>
      </w:pPr>
      <w:r>
        <w:rPr>
          <w:rFonts w:hint="eastAsia"/>
          <w:color w:val="auto"/>
          <w:sz w:val="24"/>
          <w:szCs w:val="24"/>
        </w:rPr>
        <w:t>新建尺寸标注样式，名称“</w:t>
      </w:r>
      <w:r>
        <w:rPr>
          <w:color w:val="auto"/>
          <w:sz w:val="24"/>
          <w:szCs w:val="24"/>
        </w:rPr>
        <w:t>BZ”，其中</w:t>
      </w:r>
      <w:r>
        <w:rPr>
          <w:b/>
          <w:bCs/>
          <w:color w:val="auto"/>
          <w:sz w:val="24"/>
          <w:szCs w:val="24"/>
        </w:rPr>
        <w:t>文字样式</w:t>
      </w:r>
      <w:r>
        <w:rPr>
          <w:color w:val="auto"/>
          <w:sz w:val="24"/>
          <w:szCs w:val="24"/>
        </w:rPr>
        <w:t xml:space="preserve">用“非汉字”， </w:t>
      </w:r>
      <w:r>
        <w:rPr>
          <w:b/>
          <w:bCs/>
          <w:color w:val="auto"/>
          <w:sz w:val="24"/>
          <w:szCs w:val="24"/>
        </w:rPr>
        <w:t>调整方式</w:t>
      </w:r>
      <w:r>
        <w:rPr>
          <w:color w:val="auto"/>
          <w:sz w:val="24"/>
          <w:szCs w:val="24"/>
        </w:rPr>
        <w:t>取“文字或箭头在内，取最佳效果”，</w:t>
      </w:r>
      <w:r>
        <w:rPr>
          <w:rFonts w:hint="eastAsia"/>
          <w:b/>
          <w:bCs/>
          <w:color w:val="auto"/>
          <w:sz w:val="24"/>
          <w:szCs w:val="24"/>
        </w:rPr>
        <w:t>测量单位比例因子</w:t>
      </w:r>
      <w:r>
        <w:rPr>
          <w:rFonts w:hint="eastAsia"/>
          <w:color w:val="auto"/>
          <w:sz w:val="24"/>
          <w:szCs w:val="24"/>
        </w:rPr>
        <w:t>取1，</w:t>
      </w:r>
      <w:r>
        <w:rPr>
          <w:color w:val="auto"/>
          <w:sz w:val="24"/>
          <w:szCs w:val="24"/>
        </w:rPr>
        <w:t>其余设置符合国家规范要求，并置为当前标注样式。</w:t>
      </w:r>
    </w:p>
    <w:p>
      <w:pPr>
        <w:pStyle w:val="18"/>
        <w:spacing w:line="240" w:lineRule="auto"/>
        <w:ind w:firstLine="480"/>
        <w:rPr>
          <w:color w:val="auto"/>
          <w:sz w:val="24"/>
          <w:szCs w:val="24"/>
        </w:rPr>
      </w:pPr>
      <w:r>
        <w:rPr>
          <w:rFonts w:hint="eastAsia"/>
          <w:color w:val="auto"/>
          <w:sz w:val="24"/>
          <w:szCs w:val="24"/>
        </w:rPr>
        <w:t>尺寸标注时要求：</w:t>
      </w:r>
    </w:p>
    <w:p>
      <w:pPr>
        <w:pStyle w:val="18"/>
        <w:numPr>
          <w:ilvl w:val="0"/>
          <w:numId w:val="3"/>
        </w:numPr>
        <w:spacing w:line="240" w:lineRule="auto"/>
        <w:ind w:left="0" w:firstLine="480"/>
        <w:rPr>
          <w:color w:val="auto"/>
          <w:sz w:val="24"/>
          <w:szCs w:val="24"/>
        </w:rPr>
      </w:pPr>
      <w:r>
        <w:rPr>
          <w:rFonts w:hint="eastAsia"/>
          <w:color w:val="auto"/>
          <w:sz w:val="24"/>
          <w:szCs w:val="24"/>
        </w:rPr>
        <w:t>平面图、立面图采用三道标注，尽量减少在图样轮廓内标注。</w:t>
      </w:r>
    </w:p>
    <w:p>
      <w:pPr>
        <w:pStyle w:val="18"/>
        <w:spacing w:line="240" w:lineRule="auto"/>
        <w:ind w:firstLine="480"/>
        <w:rPr>
          <w:color w:val="auto"/>
          <w:sz w:val="24"/>
          <w:szCs w:val="24"/>
        </w:rPr>
      </w:pPr>
      <w:r>
        <w:rPr>
          <w:rFonts w:hint="eastAsia"/>
          <w:color w:val="auto"/>
          <w:sz w:val="24"/>
          <w:szCs w:val="24"/>
        </w:rPr>
        <w:t>②复杂图形采用网格法标注（网格间距不超过</w:t>
      </w:r>
      <w:r>
        <w:rPr>
          <w:color w:val="auto"/>
          <w:sz w:val="24"/>
          <w:szCs w:val="24"/>
        </w:rPr>
        <w:t>50mm）。</w:t>
      </w:r>
    </w:p>
    <w:p>
      <w:pPr>
        <w:pStyle w:val="18"/>
        <w:spacing w:line="240" w:lineRule="auto"/>
        <w:ind w:firstLine="480"/>
        <w:rPr>
          <w:color w:val="auto"/>
          <w:sz w:val="24"/>
          <w:szCs w:val="24"/>
        </w:rPr>
      </w:pPr>
      <w:r>
        <w:rPr>
          <w:color w:val="auto"/>
          <w:sz w:val="24"/>
          <w:szCs w:val="24"/>
        </w:rPr>
        <w:t xml:space="preserve"> ③标注文字有重叠时，应人工调整位置。</w:t>
      </w:r>
    </w:p>
    <w:p>
      <w:pPr>
        <w:pStyle w:val="18"/>
        <w:spacing w:line="240" w:lineRule="auto"/>
        <w:ind w:firstLine="480"/>
        <w:rPr>
          <w:color w:val="auto"/>
          <w:sz w:val="24"/>
          <w:szCs w:val="24"/>
        </w:rPr>
      </w:pPr>
      <w:r>
        <w:rPr>
          <w:rFonts w:hint="eastAsia"/>
          <w:color w:val="auto"/>
          <w:sz w:val="24"/>
          <w:szCs w:val="24"/>
        </w:rPr>
        <w:t>（</w:t>
      </w:r>
      <w:r>
        <w:rPr>
          <w:color w:val="auto"/>
          <w:sz w:val="24"/>
          <w:szCs w:val="24"/>
        </w:rPr>
        <w:t>5）标题栏：按右图要求绘制。</w:t>
      </w:r>
    </w:p>
    <w:p>
      <w:pPr>
        <w:pStyle w:val="18"/>
        <w:spacing w:line="240" w:lineRule="auto"/>
        <w:ind w:firstLine="480"/>
        <w:rPr>
          <w:rFonts w:hint="eastAsia"/>
          <w:color w:val="auto"/>
          <w:sz w:val="24"/>
          <w:szCs w:val="24"/>
        </w:rPr>
      </w:pPr>
      <w:r>
        <w:rPr>
          <w:rFonts w:hint="eastAsia"/>
          <w:color w:val="auto"/>
          <w:sz w:val="24"/>
          <w:szCs w:val="24"/>
        </w:rPr>
        <w:t>（</w:t>
      </w:r>
      <w:r>
        <w:rPr>
          <w:color w:val="auto"/>
          <w:sz w:val="24"/>
          <w:szCs w:val="24"/>
        </w:rPr>
        <w:t>6）主要装饰材料表：</w:t>
      </w:r>
      <w:r>
        <w:rPr>
          <w:rFonts w:hint="eastAsia"/>
          <w:color w:val="auto"/>
          <w:sz w:val="24"/>
          <w:szCs w:val="24"/>
        </w:rPr>
        <w:t>主要装饰材料表的格式和内容参照图</w:t>
      </w:r>
      <w:r>
        <w:rPr>
          <w:color w:val="auto"/>
          <w:sz w:val="24"/>
          <w:szCs w:val="24"/>
        </w:rPr>
        <w:t>1绘制</w:t>
      </w:r>
    </w:p>
    <w:p>
      <w:pPr>
        <w:pStyle w:val="18"/>
        <w:spacing w:line="240" w:lineRule="auto"/>
        <w:ind w:firstLine="480"/>
        <w:rPr>
          <w:rFonts w:hint="eastAsia"/>
          <w:color w:val="auto"/>
          <w:sz w:val="24"/>
          <w:szCs w:val="24"/>
        </w:rPr>
      </w:pPr>
      <w:r>
        <w:rPr>
          <w:rFonts w:hint="eastAsia"/>
          <w:color w:val="auto"/>
          <w:sz w:val="24"/>
          <w:szCs w:val="24"/>
        </w:rPr>
        <w:drawing>
          <wp:anchor distT="0" distB="0" distL="114300" distR="114300" simplePos="0" relativeHeight="251660288" behindDoc="0" locked="0" layoutInCell="1" allowOverlap="1">
            <wp:simplePos x="0" y="0"/>
            <wp:positionH relativeFrom="margin">
              <wp:align>center</wp:align>
            </wp:positionH>
            <wp:positionV relativeFrom="paragraph">
              <wp:posOffset>76200</wp:posOffset>
            </wp:positionV>
            <wp:extent cx="2901950" cy="1196975"/>
            <wp:effectExtent l="1905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cstate="print">
                      <a:extLst>
                        <a:ext uri="{28A0092B-C50C-407E-A947-70E740481C1C}">
                          <a14:useLocalDpi xmlns:a14="http://schemas.microsoft.com/office/drawing/2010/main" val="0"/>
                        </a:ext>
                      </a:extLst>
                    </a:blip>
                    <a:srcRect l="64389" t="75764" r="7032" b="7546"/>
                    <a:stretch>
                      <a:fillRect/>
                    </a:stretch>
                  </pic:blipFill>
                  <pic:spPr>
                    <a:xfrm>
                      <a:off x="0" y="0"/>
                      <a:ext cx="2901950" cy="1196975"/>
                    </a:xfrm>
                    <a:prstGeom prst="rect">
                      <a:avLst/>
                    </a:prstGeom>
                    <a:ln>
                      <a:noFill/>
                    </a:ln>
                  </pic:spPr>
                </pic:pic>
              </a:graphicData>
            </a:graphic>
          </wp:anchor>
        </w:drawing>
      </w:r>
    </w:p>
    <w:p>
      <w:pPr>
        <w:pStyle w:val="18"/>
        <w:spacing w:line="240" w:lineRule="auto"/>
        <w:ind w:firstLine="480"/>
        <w:rPr>
          <w:color w:val="auto"/>
          <w:sz w:val="24"/>
          <w:szCs w:val="24"/>
        </w:rPr>
      </w:pPr>
      <w:r>
        <w:rPr>
          <w:color w:val="auto"/>
          <w:sz w:val="24"/>
          <w:szCs w:val="24"/>
        </w:rPr>
        <w:t xml:space="preserve">                       </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1421"/>
        <w:gridCol w:w="1420"/>
        <w:gridCol w:w="1421"/>
        <w:gridCol w:w="1268"/>
        <w:gridCol w:w="1410"/>
        <w:gridCol w:w="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pStyle w:val="18"/>
              <w:spacing w:line="240" w:lineRule="auto"/>
              <w:ind w:firstLine="0" w:firstLineChars="0"/>
              <w:rPr>
                <w:color w:val="auto"/>
                <w:sz w:val="22"/>
                <w:szCs w:val="21"/>
              </w:rPr>
            </w:pPr>
            <w:r>
              <w:rPr>
                <w:rFonts w:hint="eastAsia"/>
                <w:color w:val="auto"/>
                <w:sz w:val="22"/>
                <w:szCs w:val="21"/>
              </w:rPr>
              <w:t>序号</w:t>
            </w:r>
          </w:p>
        </w:tc>
        <w:tc>
          <w:tcPr>
            <w:tcW w:w="1421" w:type="dxa"/>
          </w:tcPr>
          <w:p>
            <w:pPr>
              <w:pStyle w:val="18"/>
              <w:spacing w:line="240" w:lineRule="auto"/>
              <w:ind w:firstLine="0" w:firstLineChars="0"/>
              <w:rPr>
                <w:color w:val="auto"/>
                <w:sz w:val="22"/>
                <w:szCs w:val="21"/>
              </w:rPr>
            </w:pPr>
            <w:r>
              <w:rPr>
                <w:rFonts w:hint="eastAsia"/>
                <w:color w:val="auto"/>
                <w:sz w:val="22"/>
                <w:szCs w:val="21"/>
              </w:rPr>
              <w:t>材料编号</w:t>
            </w:r>
          </w:p>
        </w:tc>
        <w:tc>
          <w:tcPr>
            <w:tcW w:w="1420" w:type="dxa"/>
          </w:tcPr>
          <w:p>
            <w:pPr>
              <w:pStyle w:val="18"/>
              <w:spacing w:line="240" w:lineRule="auto"/>
              <w:ind w:firstLine="0" w:firstLineChars="0"/>
              <w:rPr>
                <w:color w:val="auto"/>
                <w:sz w:val="22"/>
                <w:szCs w:val="21"/>
              </w:rPr>
            </w:pPr>
            <w:r>
              <w:rPr>
                <w:rFonts w:hint="eastAsia"/>
                <w:color w:val="auto"/>
                <w:sz w:val="22"/>
                <w:szCs w:val="21"/>
              </w:rPr>
              <w:t>材料名称</w:t>
            </w:r>
          </w:p>
        </w:tc>
        <w:tc>
          <w:tcPr>
            <w:tcW w:w="1421" w:type="dxa"/>
          </w:tcPr>
          <w:p>
            <w:pPr>
              <w:pStyle w:val="18"/>
              <w:spacing w:line="240" w:lineRule="auto"/>
              <w:ind w:firstLine="0" w:firstLineChars="0"/>
              <w:rPr>
                <w:color w:val="auto"/>
                <w:sz w:val="22"/>
                <w:szCs w:val="21"/>
              </w:rPr>
            </w:pPr>
            <w:r>
              <w:rPr>
                <w:rFonts w:hint="eastAsia"/>
                <w:color w:val="auto"/>
                <w:sz w:val="22"/>
                <w:szCs w:val="21"/>
              </w:rPr>
              <w:t>材料规格</w:t>
            </w:r>
          </w:p>
        </w:tc>
        <w:tc>
          <w:tcPr>
            <w:tcW w:w="1268" w:type="dxa"/>
          </w:tcPr>
          <w:p>
            <w:pPr>
              <w:pStyle w:val="18"/>
              <w:spacing w:line="240" w:lineRule="auto"/>
              <w:ind w:firstLine="0" w:firstLineChars="0"/>
              <w:rPr>
                <w:color w:val="auto"/>
                <w:sz w:val="22"/>
                <w:szCs w:val="21"/>
              </w:rPr>
            </w:pPr>
            <w:r>
              <w:rPr>
                <w:rFonts w:hint="eastAsia"/>
                <w:color w:val="auto"/>
                <w:sz w:val="22"/>
                <w:szCs w:val="21"/>
              </w:rPr>
              <w:t>材料数量</w:t>
            </w:r>
          </w:p>
        </w:tc>
        <w:tc>
          <w:tcPr>
            <w:tcW w:w="1410" w:type="dxa"/>
          </w:tcPr>
          <w:p>
            <w:pPr>
              <w:pStyle w:val="18"/>
              <w:spacing w:line="240" w:lineRule="auto"/>
              <w:ind w:firstLine="0" w:firstLineChars="0"/>
              <w:rPr>
                <w:color w:val="auto"/>
                <w:sz w:val="22"/>
                <w:szCs w:val="21"/>
              </w:rPr>
            </w:pPr>
            <w:r>
              <w:rPr>
                <w:rFonts w:hint="eastAsia"/>
                <w:color w:val="auto"/>
                <w:sz w:val="22"/>
                <w:szCs w:val="21"/>
              </w:rPr>
              <w:t>使用部位</w:t>
            </w:r>
          </w:p>
        </w:tc>
        <w:tc>
          <w:tcPr>
            <w:tcW w:w="894" w:type="dxa"/>
          </w:tcPr>
          <w:p>
            <w:pPr>
              <w:pStyle w:val="18"/>
              <w:spacing w:line="240" w:lineRule="auto"/>
              <w:ind w:firstLine="0" w:firstLineChars="0"/>
              <w:rPr>
                <w:color w:val="auto"/>
                <w:sz w:val="22"/>
                <w:szCs w:val="21"/>
              </w:rPr>
            </w:pPr>
            <w:r>
              <w:rPr>
                <w:rFonts w:hint="eastAsia"/>
                <w:color w:val="auto"/>
                <w:sz w:val="22"/>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pStyle w:val="18"/>
              <w:spacing w:line="240" w:lineRule="auto"/>
              <w:ind w:firstLine="440"/>
              <w:rPr>
                <w:color w:val="auto"/>
                <w:sz w:val="22"/>
                <w:szCs w:val="21"/>
              </w:rPr>
            </w:pPr>
          </w:p>
        </w:tc>
        <w:tc>
          <w:tcPr>
            <w:tcW w:w="1421" w:type="dxa"/>
          </w:tcPr>
          <w:p>
            <w:pPr>
              <w:pStyle w:val="18"/>
              <w:spacing w:line="240" w:lineRule="auto"/>
              <w:ind w:firstLine="440"/>
              <w:rPr>
                <w:color w:val="auto"/>
                <w:sz w:val="22"/>
                <w:szCs w:val="21"/>
              </w:rPr>
            </w:pPr>
          </w:p>
        </w:tc>
        <w:tc>
          <w:tcPr>
            <w:tcW w:w="1420" w:type="dxa"/>
          </w:tcPr>
          <w:p>
            <w:pPr>
              <w:pStyle w:val="18"/>
              <w:spacing w:line="240" w:lineRule="auto"/>
              <w:ind w:firstLine="440"/>
              <w:rPr>
                <w:color w:val="auto"/>
                <w:sz w:val="22"/>
                <w:szCs w:val="21"/>
              </w:rPr>
            </w:pPr>
          </w:p>
        </w:tc>
        <w:tc>
          <w:tcPr>
            <w:tcW w:w="1421" w:type="dxa"/>
          </w:tcPr>
          <w:p>
            <w:pPr>
              <w:pStyle w:val="18"/>
              <w:spacing w:line="240" w:lineRule="auto"/>
              <w:ind w:firstLine="440"/>
              <w:rPr>
                <w:color w:val="auto"/>
                <w:sz w:val="22"/>
                <w:szCs w:val="21"/>
              </w:rPr>
            </w:pPr>
          </w:p>
        </w:tc>
        <w:tc>
          <w:tcPr>
            <w:tcW w:w="1268" w:type="dxa"/>
          </w:tcPr>
          <w:p>
            <w:pPr>
              <w:pStyle w:val="18"/>
              <w:spacing w:line="240" w:lineRule="auto"/>
              <w:ind w:firstLine="440"/>
              <w:rPr>
                <w:color w:val="auto"/>
                <w:sz w:val="22"/>
                <w:szCs w:val="21"/>
              </w:rPr>
            </w:pPr>
          </w:p>
        </w:tc>
        <w:tc>
          <w:tcPr>
            <w:tcW w:w="1410" w:type="dxa"/>
          </w:tcPr>
          <w:p>
            <w:pPr>
              <w:pStyle w:val="18"/>
              <w:spacing w:line="240" w:lineRule="auto"/>
              <w:ind w:firstLine="440"/>
              <w:rPr>
                <w:color w:val="auto"/>
                <w:sz w:val="22"/>
                <w:szCs w:val="21"/>
              </w:rPr>
            </w:pPr>
          </w:p>
        </w:tc>
        <w:tc>
          <w:tcPr>
            <w:tcW w:w="894" w:type="dxa"/>
          </w:tcPr>
          <w:p>
            <w:pPr>
              <w:pStyle w:val="18"/>
              <w:spacing w:line="240" w:lineRule="auto"/>
              <w:ind w:firstLine="440"/>
              <w:rPr>
                <w:color w:val="auto"/>
                <w:sz w:val="22"/>
                <w:szCs w:val="21"/>
              </w:rPr>
            </w:pPr>
          </w:p>
        </w:tc>
      </w:tr>
    </w:tbl>
    <w:p>
      <w:pPr>
        <w:pStyle w:val="18"/>
        <w:spacing w:line="240" w:lineRule="auto"/>
        <w:ind w:firstLine="480"/>
        <w:jc w:val="center"/>
        <w:rPr>
          <w:rFonts w:hint="eastAsia"/>
          <w:color w:val="auto"/>
          <w:sz w:val="24"/>
          <w:szCs w:val="24"/>
        </w:rPr>
      </w:pPr>
      <w:r>
        <w:rPr>
          <w:color w:val="auto"/>
          <w:sz w:val="24"/>
          <w:szCs w:val="24"/>
        </w:rPr>
        <w:t xml:space="preserve">图1  </w:t>
      </w:r>
      <w:r>
        <w:rPr>
          <w:rFonts w:hint="eastAsia"/>
          <w:color w:val="auto"/>
          <w:sz w:val="24"/>
          <w:szCs w:val="24"/>
        </w:rPr>
        <w:t>装饰</w:t>
      </w:r>
      <w:r>
        <w:rPr>
          <w:color w:val="auto"/>
          <w:sz w:val="24"/>
          <w:szCs w:val="24"/>
        </w:rPr>
        <w:t>材料表</w:t>
      </w:r>
    </w:p>
    <w:p>
      <w:pPr>
        <w:pStyle w:val="18"/>
        <w:spacing w:line="240" w:lineRule="auto"/>
        <w:ind w:firstLine="480"/>
        <w:rPr>
          <w:color w:val="auto"/>
          <w:sz w:val="24"/>
          <w:szCs w:val="24"/>
        </w:rPr>
      </w:pPr>
      <w:r>
        <w:rPr>
          <w:rFonts w:hint="eastAsia"/>
          <w:color w:val="auto"/>
          <w:sz w:val="24"/>
          <w:szCs w:val="24"/>
        </w:rPr>
        <w:t>（</w:t>
      </w:r>
      <w:r>
        <w:rPr>
          <w:color w:val="auto"/>
          <w:sz w:val="24"/>
          <w:szCs w:val="24"/>
        </w:rPr>
        <w:t>7）配置</w:t>
      </w:r>
      <w:r>
        <w:rPr>
          <w:rFonts w:hint="eastAsia"/>
          <w:color w:val="auto"/>
          <w:sz w:val="24"/>
          <w:szCs w:val="24"/>
        </w:rPr>
        <w:t>A3彩色</w:t>
      </w:r>
      <w:r>
        <w:rPr>
          <w:color w:val="auto"/>
          <w:sz w:val="24"/>
          <w:szCs w:val="24"/>
        </w:rPr>
        <w:t>打印机，</w:t>
      </w:r>
      <w:r>
        <w:rPr>
          <w:rFonts w:hint="eastAsia"/>
          <w:color w:val="auto"/>
          <w:sz w:val="24"/>
          <w:szCs w:val="24"/>
        </w:rPr>
        <w:t>打印比例1：1</w:t>
      </w:r>
      <w:r>
        <w:rPr>
          <w:color w:val="auto"/>
          <w:sz w:val="24"/>
          <w:szCs w:val="24"/>
        </w:rPr>
        <w:t>。</w:t>
      </w:r>
    </w:p>
    <w:p>
      <w:pPr>
        <w:pStyle w:val="18"/>
        <w:spacing w:line="240" w:lineRule="auto"/>
        <w:ind w:firstLine="480"/>
        <w:rPr>
          <w:color w:val="auto"/>
          <w:sz w:val="24"/>
          <w:szCs w:val="24"/>
        </w:rPr>
      </w:pPr>
      <w:r>
        <w:rPr>
          <w:rFonts w:hint="eastAsia"/>
          <w:color w:val="auto"/>
          <w:sz w:val="24"/>
          <w:szCs w:val="24"/>
        </w:rPr>
        <w:t>9、警示</w:t>
      </w:r>
    </w:p>
    <w:p>
      <w:pPr>
        <w:pStyle w:val="18"/>
        <w:spacing w:line="240" w:lineRule="auto"/>
        <w:ind w:firstLine="482"/>
        <w:rPr>
          <w:b/>
          <w:bCs/>
          <w:color w:val="auto"/>
          <w:sz w:val="24"/>
          <w:szCs w:val="24"/>
        </w:rPr>
      </w:pPr>
      <w:r>
        <w:rPr>
          <w:rFonts w:hint="eastAsia"/>
          <w:b/>
          <w:bCs/>
          <w:color w:val="auto"/>
          <w:sz w:val="24"/>
          <w:szCs w:val="24"/>
        </w:rPr>
        <w:t>（1）文件夹名称和设计成果文件名称不符合要求的，按“0分”处置。文件中出现“姓名、校名、机位（工位）号、参赛号”及做任何表明身份的标记（需当值裁判确认签字），均不给予评分，成绩按照“0分”处理。设计成果文件未存入相应文件夹、文件夹存储位置错误的，按未完成任务处理。</w:t>
      </w:r>
    </w:p>
    <w:p>
      <w:pPr>
        <w:pStyle w:val="18"/>
        <w:spacing w:line="240" w:lineRule="auto"/>
        <w:ind w:firstLine="480"/>
        <w:rPr>
          <w:color w:val="auto"/>
          <w:sz w:val="24"/>
          <w:szCs w:val="24"/>
        </w:rPr>
      </w:pPr>
      <w:r>
        <w:rPr>
          <w:rFonts w:hint="eastAsia"/>
          <w:color w:val="auto"/>
          <w:sz w:val="24"/>
          <w:szCs w:val="24"/>
        </w:rPr>
        <w:t>（2）不得提前交卷。</w:t>
      </w:r>
    </w:p>
    <w:p>
      <w:pPr>
        <w:pStyle w:val="18"/>
        <w:spacing w:line="240" w:lineRule="auto"/>
        <w:ind w:firstLine="480"/>
        <w:rPr>
          <w:color w:val="auto"/>
          <w:sz w:val="24"/>
          <w:szCs w:val="24"/>
        </w:rPr>
      </w:pPr>
      <w:r>
        <w:rPr>
          <w:rFonts w:hint="eastAsia"/>
          <w:color w:val="auto"/>
          <w:sz w:val="24"/>
          <w:szCs w:val="24"/>
        </w:rPr>
        <w:t>（3）为减少因突发情况造成的损失，选手应在竞赛过程中注意手动保存竞赛成果文件，也可自行设置软件自动保存的时间。</w:t>
      </w:r>
    </w:p>
    <w:p>
      <w:pPr>
        <w:pStyle w:val="18"/>
        <w:spacing w:line="240" w:lineRule="auto"/>
        <w:ind w:firstLine="480"/>
        <w:rPr>
          <w:color w:val="auto"/>
          <w:sz w:val="24"/>
          <w:szCs w:val="24"/>
        </w:rPr>
      </w:pPr>
      <w:r>
        <w:rPr>
          <w:rFonts w:hint="eastAsia"/>
          <w:color w:val="auto"/>
          <w:sz w:val="24"/>
          <w:szCs w:val="24"/>
        </w:rPr>
        <w:t>（4）遇到意外情况，应及时向裁判报告，听从裁判安排，不要自行处理。经现场技术支持及裁判人员鉴定，非人为原因造成的电脑及软件死机，根据情况由裁判长确定加时的时间，所加时间从选手提出报告开始计时。</w:t>
      </w:r>
    </w:p>
    <w:p>
      <w:pPr>
        <w:pStyle w:val="18"/>
        <w:spacing w:line="240" w:lineRule="auto"/>
        <w:ind w:firstLine="480"/>
        <w:rPr>
          <w:color w:val="auto"/>
          <w:sz w:val="24"/>
          <w:szCs w:val="24"/>
        </w:rPr>
      </w:pPr>
      <w:r>
        <w:rPr>
          <w:rFonts w:hint="eastAsia"/>
          <w:color w:val="auto"/>
          <w:sz w:val="24"/>
          <w:szCs w:val="24"/>
        </w:rPr>
        <w:t>（5）赛场提供的所有纸质材料不得带出赛场，</w:t>
      </w:r>
      <w:r>
        <w:rPr>
          <w:rFonts w:hint="eastAsia"/>
          <w:b/>
          <w:bCs/>
          <w:color w:val="auto"/>
          <w:sz w:val="24"/>
          <w:szCs w:val="24"/>
        </w:rPr>
        <w:t>离开赛场时不要关闭电脑。</w:t>
      </w:r>
      <w:r>
        <w:rPr>
          <w:rFonts w:hint="eastAsia"/>
          <w:color w:val="auto"/>
          <w:sz w:val="24"/>
          <w:szCs w:val="24"/>
        </w:rPr>
        <w:t>关机可能导致保存文件丢失由选手负责。</w:t>
      </w:r>
    </w:p>
    <w:p>
      <w:pPr>
        <w:pStyle w:val="18"/>
        <w:spacing w:line="240" w:lineRule="auto"/>
        <w:ind w:firstLine="482"/>
        <w:rPr>
          <w:b/>
          <w:color w:val="auto"/>
          <w:sz w:val="24"/>
          <w:szCs w:val="24"/>
        </w:rPr>
      </w:pPr>
      <w:r>
        <w:rPr>
          <w:b/>
          <w:color w:val="auto"/>
          <w:sz w:val="24"/>
          <w:szCs w:val="24"/>
        </w:rPr>
        <w:t>二、竞赛任务要求</w:t>
      </w:r>
    </w:p>
    <w:p>
      <w:pPr>
        <w:pStyle w:val="18"/>
        <w:spacing w:line="240" w:lineRule="auto"/>
        <w:ind w:firstLine="482"/>
        <w:rPr>
          <w:b/>
          <w:color w:val="auto"/>
          <w:sz w:val="24"/>
          <w:szCs w:val="24"/>
        </w:rPr>
      </w:pPr>
      <w:r>
        <w:rPr>
          <w:rFonts w:hint="eastAsia"/>
          <w:b/>
          <w:color w:val="auto"/>
          <w:sz w:val="24"/>
          <w:szCs w:val="24"/>
        </w:rPr>
        <w:t>（一）现场考察工位</w:t>
      </w:r>
    </w:p>
    <w:p>
      <w:pPr>
        <w:pStyle w:val="18"/>
        <w:spacing w:line="240" w:lineRule="auto"/>
        <w:ind w:firstLine="480"/>
        <w:rPr>
          <w:color w:val="auto"/>
          <w:sz w:val="24"/>
          <w:szCs w:val="24"/>
        </w:rPr>
      </w:pPr>
      <w:r>
        <w:rPr>
          <w:rFonts w:hint="eastAsia"/>
          <w:color w:val="auto"/>
          <w:sz w:val="24"/>
          <w:szCs w:val="24"/>
        </w:rPr>
        <w:t>1、现场测量工位尺寸，做好记录，签工位号，并复印保存。原件留存，复印件带走。</w:t>
      </w:r>
    </w:p>
    <w:p>
      <w:pPr>
        <w:pStyle w:val="18"/>
        <w:spacing w:line="240" w:lineRule="auto"/>
        <w:ind w:firstLine="480"/>
        <w:rPr>
          <w:color w:val="auto"/>
          <w:sz w:val="24"/>
          <w:szCs w:val="24"/>
        </w:rPr>
      </w:pPr>
      <w:r>
        <w:rPr>
          <w:rFonts w:hint="eastAsia"/>
          <w:color w:val="auto"/>
          <w:sz w:val="24"/>
          <w:szCs w:val="24"/>
        </w:rPr>
        <w:t>2、现场核对所提供的材料清单，签字确认，一式两份，留一份带走一份。</w:t>
      </w:r>
    </w:p>
    <w:p>
      <w:pPr>
        <w:pStyle w:val="18"/>
        <w:spacing w:line="240" w:lineRule="auto"/>
        <w:ind w:firstLine="482"/>
        <w:rPr>
          <w:b/>
          <w:color w:val="auto"/>
          <w:sz w:val="24"/>
          <w:szCs w:val="24"/>
        </w:rPr>
      </w:pPr>
      <w:r>
        <w:rPr>
          <w:b/>
          <w:color w:val="auto"/>
          <w:sz w:val="24"/>
          <w:szCs w:val="24"/>
        </w:rPr>
        <w:t>（</w:t>
      </w:r>
      <w:r>
        <w:rPr>
          <w:rFonts w:hint="eastAsia"/>
          <w:b/>
          <w:color w:val="auto"/>
          <w:sz w:val="24"/>
          <w:szCs w:val="24"/>
        </w:rPr>
        <w:t>二</w:t>
      </w:r>
      <w:r>
        <w:rPr>
          <w:b/>
          <w:color w:val="auto"/>
          <w:sz w:val="24"/>
          <w:szCs w:val="24"/>
        </w:rPr>
        <w:t>）</w:t>
      </w:r>
      <w:r>
        <w:rPr>
          <w:rFonts w:hint="eastAsia"/>
          <w:b/>
          <w:color w:val="auto"/>
          <w:sz w:val="24"/>
          <w:szCs w:val="24"/>
        </w:rPr>
        <w:t>墙面瓷砖镶贴设计图（共计100分）</w:t>
      </w:r>
    </w:p>
    <w:p>
      <w:pPr>
        <w:pStyle w:val="18"/>
        <w:spacing w:line="240" w:lineRule="auto"/>
        <w:ind w:firstLine="480"/>
        <w:rPr>
          <w:color w:val="auto"/>
          <w:sz w:val="24"/>
          <w:szCs w:val="24"/>
        </w:rPr>
      </w:pPr>
      <w:r>
        <w:rPr>
          <w:rFonts w:hint="eastAsia"/>
          <w:color w:val="auto"/>
          <w:sz w:val="24"/>
          <w:szCs w:val="24"/>
        </w:rPr>
        <w:t>1、任务内容</w:t>
      </w:r>
    </w:p>
    <w:p>
      <w:pPr>
        <w:pStyle w:val="18"/>
        <w:spacing w:line="240" w:lineRule="auto"/>
        <w:ind w:firstLine="480"/>
        <w:rPr>
          <w:color w:val="auto"/>
          <w:sz w:val="24"/>
          <w:szCs w:val="24"/>
        </w:rPr>
      </w:pPr>
      <w:r>
        <w:rPr>
          <w:rFonts w:hint="eastAsia"/>
          <w:color w:val="auto"/>
          <w:sz w:val="24"/>
          <w:szCs w:val="24"/>
        </w:rPr>
        <w:t>按现场测量工位尺寸和所给材料清单，结合工位A面（弧形壁炉墙面）进行瓷砖镶贴设计。</w:t>
      </w:r>
    </w:p>
    <w:p>
      <w:pPr>
        <w:pStyle w:val="18"/>
        <w:spacing w:line="240" w:lineRule="auto"/>
        <w:ind w:firstLine="480"/>
        <w:rPr>
          <w:color w:val="auto"/>
          <w:sz w:val="24"/>
          <w:szCs w:val="24"/>
        </w:rPr>
      </w:pPr>
    </w:p>
    <w:p>
      <w:pPr>
        <w:pStyle w:val="18"/>
        <w:spacing w:line="240" w:lineRule="auto"/>
        <w:ind w:firstLine="480"/>
        <w:rPr>
          <w:color w:val="auto"/>
          <w:sz w:val="24"/>
          <w:szCs w:val="24"/>
        </w:rPr>
      </w:pPr>
    </w:p>
    <w:p>
      <w:pPr>
        <w:pStyle w:val="18"/>
        <w:spacing w:line="240" w:lineRule="auto"/>
        <w:ind w:firstLine="480"/>
        <w:rPr>
          <w:color w:val="auto"/>
          <w:sz w:val="24"/>
          <w:szCs w:val="24"/>
        </w:rPr>
      </w:pPr>
      <w:r>
        <w:rPr>
          <w:rFonts w:hint="eastAsia"/>
          <w:color w:val="auto"/>
          <w:sz w:val="24"/>
          <w:szCs w:val="24"/>
        </w:rPr>
        <w:drawing>
          <wp:inline distT="0" distB="0" distL="114300" distR="114300">
            <wp:extent cx="5169535" cy="4111625"/>
            <wp:effectExtent l="0" t="0" r="12065" b="3175"/>
            <wp:docPr id="13" name="图片 13" descr="壁炉造形原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壁炉造形原形图"/>
                    <pic:cNvPicPr>
                      <a:picLocks noChangeAspect="1"/>
                    </pic:cNvPicPr>
                  </pic:nvPicPr>
                  <pic:blipFill>
                    <a:blip r:embed="rId23"/>
                    <a:srcRect r="32246" b="61531"/>
                    <a:stretch>
                      <a:fillRect/>
                    </a:stretch>
                  </pic:blipFill>
                  <pic:spPr>
                    <a:xfrm>
                      <a:off x="0" y="0"/>
                      <a:ext cx="5169535" cy="4111625"/>
                    </a:xfrm>
                    <a:prstGeom prst="rect">
                      <a:avLst/>
                    </a:prstGeom>
                  </pic:spPr>
                </pic:pic>
              </a:graphicData>
            </a:graphic>
          </wp:inline>
        </w:drawing>
      </w:r>
    </w:p>
    <w:p>
      <w:pPr>
        <w:pStyle w:val="18"/>
        <w:spacing w:line="240" w:lineRule="auto"/>
        <w:ind w:firstLine="480"/>
        <w:rPr>
          <w:color w:val="auto"/>
          <w:sz w:val="24"/>
          <w:szCs w:val="24"/>
        </w:rPr>
      </w:pPr>
    </w:p>
    <w:p>
      <w:pPr>
        <w:pStyle w:val="18"/>
        <w:spacing w:line="240" w:lineRule="auto"/>
        <w:ind w:firstLine="480"/>
        <w:rPr>
          <w:color w:val="auto"/>
          <w:sz w:val="24"/>
          <w:szCs w:val="24"/>
        </w:rPr>
      </w:pPr>
      <w:r>
        <w:rPr>
          <w:color w:val="auto"/>
          <w:sz w:val="24"/>
          <w:szCs w:val="24"/>
        </w:rPr>
        <w:t>2、设计要求</w:t>
      </w:r>
    </w:p>
    <w:p>
      <w:pPr>
        <w:pStyle w:val="18"/>
        <w:spacing w:line="240" w:lineRule="auto"/>
        <w:ind w:left="835" w:leftChars="200" w:hanging="355" w:hangingChars="148"/>
        <w:rPr>
          <w:color w:val="auto"/>
          <w:sz w:val="24"/>
          <w:szCs w:val="24"/>
        </w:rPr>
      </w:pPr>
      <w:r>
        <w:rPr>
          <w:rFonts w:hint="eastAsia"/>
          <w:color w:val="auto"/>
          <w:sz w:val="24"/>
          <w:szCs w:val="24"/>
        </w:rPr>
        <w:drawing>
          <wp:inline distT="0" distB="0" distL="114300" distR="114300">
            <wp:extent cx="3671570" cy="2411095"/>
            <wp:effectExtent l="0" t="0" r="5080" b="8255"/>
            <wp:docPr id="16" name="图片 16" descr="工位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工位平面图"/>
                    <pic:cNvPicPr>
                      <a:picLocks noChangeAspect="1"/>
                    </pic:cNvPicPr>
                  </pic:nvPicPr>
                  <pic:blipFill>
                    <a:blip r:embed="rId23"/>
                    <a:srcRect l="19634" t="43579" r="28963" b="32330"/>
                    <a:stretch>
                      <a:fillRect/>
                    </a:stretch>
                  </pic:blipFill>
                  <pic:spPr>
                    <a:xfrm>
                      <a:off x="0" y="0"/>
                      <a:ext cx="3671570" cy="2411095"/>
                    </a:xfrm>
                    <a:prstGeom prst="rect">
                      <a:avLst/>
                    </a:prstGeom>
                  </pic:spPr>
                </pic:pic>
              </a:graphicData>
            </a:graphic>
          </wp:inline>
        </w:drawing>
      </w:r>
      <w:r>
        <w:rPr>
          <w:rFonts w:hint="eastAsia"/>
          <w:color w:val="auto"/>
          <w:sz w:val="24"/>
          <w:szCs w:val="24"/>
        </w:rPr>
        <w:drawing>
          <wp:inline distT="0" distB="0" distL="114300" distR="114300">
            <wp:extent cx="1477010" cy="1023620"/>
            <wp:effectExtent l="0" t="0" r="8890" b="5080"/>
            <wp:docPr id="18" name="图片 18" descr="工位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工位平面图"/>
                    <pic:cNvPicPr>
                      <a:picLocks noChangeAspect="1"/>
                    </pic:cNvPicPr>
                  </pic:nvPicPr>
                  <pic:blipFill>
                    <a:blip r:embed="rId23"/>
                    <a:srcRect l="75368" t="87815"/>
                    <a:stretch>
                      <a:fillRect/>
                    </a:stretch>
                  </pic:blipFill>
                  <pic:spPr>
                    <a:xfrm>
                      <a:off x="0" y="0"/>
                      <a:ext cx="1477010" cy="1023620"/>
                    </a:xfrm>
                    <a:prstGeom prst="rect">
                      <a:avLst/>
                    </a:prstGeom>
                  </pic:spPr>
                </pic:pic>
              </a:graphicData>
            </a:graphic>
          </wp:inline>
        </w:drawing>
      </w:r>
    </w:p>
    <w:p>
      <w:pPr>
        <w:pStyle w:val="18"/>
        <w:spacing w:line="240" w:lineRule="auto"/>
        <w:ind w:left="12" w:leftChars="5" w:firstLine="398" w:firstLineChars="166"/>
        <w:rPr>
          <w:color w:val="auto"/>
          <w:sz w:val="24"/>
          <w:szCs w:val="24"/>
        </w:rPr>
      </w:pPr>
      <w:r>
        <w:rPr>
          <w:rFonts w:hint="eastAsia"/>
          <w:color w:val="auto"/>
          <w:sz w:val="24"/>
          <w:szCs w:val="24"/>
        </w:rPr>
        <w:t>1）弧形壁炉正面上口镶贴半径为</w:t>
      </w:r>
      <w:r>
        <w:rPr>
          <w:color w:val="auto"/>
          <w:sz w:val="24"/>
          <w:szCs w:val="24"/>
        </w:rPr>
        <w:t>20mm的彩色圆形砖一块</w:t>
      </w:r>
      <w:r>
        <w:rPr>
          <w:rFonts w:hint="eastAsia"/>
          <w:color w:val="auto"/>
          <w:sz w:val="24"/>
          <w:szCs w:val="24"/>
        </w:rPr>
        <w:t>（如图）</w:t>
      </w:r>
      <w:r>
        <w:rPr>
          <w:color w:val="auto"/>
          <w:sz w:val="24"/>
          <w:szCs w:val="24"/>
        </w:rPr>
        <w:t>。</w:t>
      </w:r>
    </w:p>
    <w:p>
      <w:pPr>
        <w:pStyle w:val="18"/>
        <w:spacing w:line="240" w:lineRule="auto"/>
        <w:ind w:left="12" w:leftChars="5" w:firstLine="398" w:firstLineChars="166"/>
        <w:rPr>
          <w:color w:val="auto"/>
          <w:sz w:val="24"/>
          <w:szCs w:val="24"/>
        </w:rPr>
      </w:pPr>
      <w:r>
        <w:rPr>
          <w:rFonts w:hint="eastAsia"/>
          <w:color w:val="auto"/>
          <w:sz w:val="24"/>
          <w:szCs w:val="24"/>
        </w:rPr>
        <w:t>2）彩色砖区采用100*100mm规格砖，位于壁炉上方，面积不小于   m</w:t>
      </w:r>
      <w:r>
        <w:rPr>
          <w:rFonts w:hint="eastAsia"/>
          <w:color w:val="auto"/>
          <w:sz w:val="24"/>
          <w:szCs w:val="24"/>
          <w:vertAlign w:val="superscript"/>
        </w:rPr>
        <w:t>2</w:t>
      </w:r>
      <w:r>
        <w:rPr>
          <w:rFonts w:hint="eastAsia"/>
          <w:color w:val="auto"/>
          <w:sz w:val="24"/>
          <w:szCs w:val="24"/>
        </w:rPr>
        <w:t>。</w:t>
      </w:r>
    </w:p>
    <w:p>
      <w:pPr>
        <w:pStyle w:val="18"/>
        <w:spacing w:line="240" w:lineRule="auto"/>
        <w:ind w:left="12" w:leftChars="5" w:firstLine="398" w:firstLineChars="166"/>
        <w:rPr>
          <w:color w:val="auto"/>
          <w:sz w:val="24"/>
          <w:szCs w:val="24"/>
        </w:rPr>
      </w:pPr>
      <w:r>
        <w:rPr>
          <w:rFonts w:hint="eastAsia"/>
          <w:color w:val="auto"/>
          <w:sz w:val="24"/>
          <w:szCs w:val="24"/>
        </w:rPr>
        <w:t>3）根据墙体尺寸进行瓷砖的排砖设计，瓷砖到墙体外侧边缘不超过100mm，另一边，需贴到轻钢龙骨隔墙边，与龙骨留缝</w:t>
      </w:r>
      <w:r>
        <w:rPr>
          <w:color w:val="auto"/>
          <w:sz w:val="24"/>
          <w:szCs w:val="24"/>
        </w:rPr>
        <w:t>12.5mm（距石膏板3mm），且要求遮盖石膏板边缝，</w:t>
      </w:r>
      <w:r>
        <w:rPr>
          <w:rFonts w:hint="eastAsia"/>
          <w:color w:val="auto"/>
          <w:sz w:val="24"/>
          <w:szCs w:val="24"/>
        </w:rPr>
        <w:t>包含一个阳角、一个阴角。瓷砖到墙体上、下边缘的距离，合计不超过2</w:t>
      </w:r>
      <w:r>
        <w:rPr>
          <w:color w:val="auto"/>
          <w:sz w:val="24"/>
          <w:szCs w:val="24"/>
        </w:rPr>
        <w:t>00</w:t>
      </w:r>
      <w:r>
        <w:rPr>
          <w:rFonts w:hint="eastAsia"/>
          <w:color w:val="auto"/>
          <w:sz w:val="24"/>
          <w:szCs w:val="24"/>
        </w:rPr>
        <w:t>mm。上述的瓷砖边缘的限值，均以到墙体最外边的位置为准。</w:t>
      </w:r>
    </w:p>
    <w:p>
      <w:pPr>
        <w:pStyle w:val="18"/>
        <w:spacing w:line="240" w:lineRule="auto"/>
        <w:ind w:left="12" w:leftChars="5" w:firstLine="398" w:firstLineChars="166"/>
        <w:rPr>
          <w:color w:val="auto"/>
          <w:sz w:val="24"/>
          <w:szCs w:val="24"/>
        </w:rPr>
      </w:pPr>
      <w:r>
        <w:rPr>
          <w:rFonts w:hint="eastAsia"/>
          <w:color w:val="auto"/>
          <w:sz w:val="24"/>
          <w:szCs w:val="24"/>
        </w:rPr>
        <w:t>4）墙面其余部分镶贴200</w:t>
      </w:r>
      <w:bookmarkStart w:id="11" w:name="_Hlk106538409"/>
      <w:r>
        <w:rPr>
          <w:rFonts w:hint="eastAsia"/>
          <w:color w:val="auto"/>
          <w:sz w:val="24"/>
          <w:szCs w:val="24"/>
        </w:rPr>
        <w:t>×300mm</w:t>
      </w:r>
      <w:bookmarkEnd w:id="11"/>
      <w:r>
        <w:rPr>
          <w:rFonts w:hint="eastAsia"/>
          <w:color w:val="auto"/>
          <w:sz w:val="24"/>
          <w:szCs w:val="24"/>
        </w:rPr>
        <w:t>白砖，弧形壁炉内壁与外壁均需镶贴，壁炉正面、侧面瓷砖应与墙面大规格瓷砖对缝，大规格瓷砖留</w:t>
      </w:r>
      <w:r>
        <w:rPr>
          <w:color w:val="auto"/>
          <w:sz w:val="24"/>
          <w:szCs w:val="24"/>
        </w:rPr>
        <w:t>3mm砖缝。</w:t>
      </w:r>
    </w:p>
    <w:p>
      <w:pPr>
        <w:pStyle w:val="18"/>
        <w:spacing w:line="240" w:lineRule="auto"/>
        <w:ind w:left="12" w:leftChars="5" w:firstLine="398" w:firstLineChars="166"/>
        <w:rPr>
          <w:color w:val="auto"/>
          <w:sz w:val="24"/>
          <w:szCs w:val="24"/>
        </w:rPr>
      </w:pPr>
      <w:r>
        <w:rPr>
          <w:rFonts w:hint="eastAsia"/>
          <w:color w:val="auto"/>
          <w:sz w:val="24"/>
          <w:szCs w:val="24"/>
        </w:rPr>
        <w:t>5）在壁炉左右两边墙面指定位置，分别布置DN15型水管洞和86型开关盒洞，位置以地面以上30</w:t>
      </w:r>
      <w:r>
        <w:rPr>
          <w:rFonts w:hint="eastAsia"/>
          <w:color w:val="auto"/>
          <w:sz w:val="24"/>
          <w:szCs w:val="24"/>
          <w:lang w:val="en-US" w:eastAsia="zh-CN"/>
        </w:rPr>
        <w:t>0</w:t>
      </w:r>
      <w:r>
        <w:rPr>
          <w:rFonts w:hint="eastAsia"/>
          <w:color w:val="auto"/>
          <w:sz w:val="24"/>
          <w:szCs w:val="24"/>
        </w:rPr>
        <w:t>mm为准，设计时水管和开关盒均不得骑砖缝。</w:t>
      </w:r>
    </w:p>
    <w:p>
      <w:pPr>
        <w:pStyle w:val="18"/>
        <w:spacing w:line="240" w:lineRule="auto"/>
        <w:ind w:left="12" w:leftChars="5" w:firstLine="398" w:firstLineChars="166"/>
        <w:rPr>
          <w:color w:val="auto"/>
          <w:sz w:val="24"/>
          <w:szCs w:val="24"/>
        </w:rPr>
      </w:pPr>
      <w:r>
        <w:rPr>
          <w:rFonts w:hint="eastAsia"/>
          <w:color w:val="auto"/>
          <w:sz w:val="24"/>
          <w:szCs w:val="24"/>
        </w:rPr>
        <w:t>6）设计图纸需规范布局、规范出图，纸张为A3横向，图名命名</w:t>
      </w:r>
      <w:bookmarkStart w:id="12" w:name="_Hlk106639598"/>
      <w:r>
        <w:rPr>
          <w:rFonts w:hint="eastAsia"/>
          <w:color w:val="auto"/>
          <w:sz w:val="24"/>
          <w:szCs w:val="24"/>
        </w:rPr>
        <w:t>不得泄露有关参赛者信息。如有泄露，经评分裁判确认签字后，按“0分”处理。</w:t>
      </w:r>
      <w:bookmarkEnd w:id="12"/>
    </w:p>
    <w:p>
      <w:pPr>
        <w:pStyle w:val="18"/>
        <w:spacing w:line="240" w:lineRule="auto"/>
        <w:ind w:firstLine="480"/>
        <w:rPr>
          <w:color w:val="auto"/>
          <w:sz w:val="24"/>
          <w:szCs w:val="24"/>
        </w:rPr>
      </w:pPr>
      <w:r>
        <w:rPr>
          <w:rFonts w:hint="eastAsia"/>
          <w:color w:val="auto"/>
          <w:sz w:val="24"/>
          <w:szCs w:val="24"/>
        </w:rPr>
        <w:t>3、图纸组成及要求</w:t>
      </w:r>
    </w:p>
    <w:p>
      <w:pPr>
        <w:pStyle w:val="18"/>
        <w:numPr>
          <w:ilvl w:val="0"/>
          <w:numId w:val="0"/>
        </w:numPr>
        <w:spacing w:line="240" w:lineRule="auto"/>
        <w:ind w:left="0" w:leftChars="0" w:firstLine="480" w:firstLineChars="200"/>
        <w:rPr>
          <w:color w:val="auto"/>
          <w:sz w:val="24"/>
          <w:szCs w:val="24"/>
        </w:rPr>
      </w:pPr>
      <w:r>
        <w:rPr>
          <w:rFonts w:hint="eastAsia"/>
          <w:color w:val="auto"/>
          <w:sz w:val="24"/>
          <w:szCs w:val="24"/>
          <w:lang w:val="en-US" w:eastAsia="zh-CN"/>
        </w:rPr>
        <w:t>1）</w:t>
      </w:r>
      <w:r>
        <w:rPr>
          <w:rFonts w:hint="eastAsia"/>
          <w:color w:val="auto"/>
          <w:sz w:val="24"/>
          <w:szCs w:val="24"/>
        </w:rPr>
        <w:t>封面：包括图框、项目名称、专业及设计深度、设计时间</w:t>
      </w:r>
    </w:p>
    <w:p>
      <w:pPr>
        <w:pStyle w:val="18"/>
        <w:numPr>
          <w:ilvl w:val="0"/>
          <w:numId w:val="0"/>
        </w:numPr>
        <w:spacing w:line="240" w:lineRule="auto"/>
        <w:ind w:left="0" w:leftChars="0" w:firstLine="480" w:firstLineChars="200"/>
        <w:rPr>
          <w:color w:val="auto"/>
          <w:sz w:val="24"/>
          <w:szCs w:val="24"/>
        </w:rPr>
      </w:pPr>
      <w:r>
        <w:rPr>
          <w:rFonts w:hint="eastAsia"/>
          <w:color w:val="auto"/>
          <w:sz w:val="24"/>
          <w:szCs w:val="24"/>
          <w:lang w:val="en-US" w:eastAsia="zh-CN"/>
        </w:rPr>
        <w:t>2）</w:t>
      </w:r>
      <w:r>
        <w:rPr>
          <w:rFonts w:hint="eastAsia"/>
          <w:color w:val="auto"/>
          <w:sz w:val="24"/>
          <w:szCs w:val="24"/>
        </w:rPr>
        <w:t>图纸目录：包括图框、标题栏（以下略）、序号、图号、图纸名称、图幅、版本号</w:t>
      </w:r>
    </w:p>
    <w:p>
      <w:pPr>
        <w:pStyle w:val="18"/>
        <w:numPr>
          <w:ilvl w:val="0"/>
          <w:numId w:val="0"/>
        </w:numPr>
        <w:spacing w:line="240" w:lineRule="auto"/>
        <w:ind w:left="0" w:leftChars="0" w:firstLine="480" w:firstLineChars="200"/>
        <w:rPr>
          <w:color w:val="auto"/>
          <w:sz w:val="24"/>
          <w:szCs w:val="24"/>
        </w:rPr>
      </w:pPr>
      <w:r>
        <w:rPr>
          <w:rFonts w:hint="eastAsia"/>
          <w:color w:val="auto"/>
          <w:sz w:val="24"/>
          <w:szCs w:val="24"/>
          <w:lang w:val="en-US" w:eastAsia="zh-CN"/>
        </w:rPr>
        <w:t>3）</w:t>
      </w:r>
      <w:r>
        <w:rPr>
          <w:rFonts w:hint="eastAsia"/>
          <w:color w:val="auto"/>
          <w:sz w:val="24"/>
          <w:szCs w:val="24"/>
        </w:rPr>
        <w:t>设计说明：包括工程概况、设计依据、施工工艺及要点、质量保证措施、绿色及安全、文明施工要求、图例说明、装饰材料表</w:t>
      </w:r>
    </w:p>
    <w:p>
      <w:pPr>
        <w:pStyle w:val="18"/>
        <w:numPr>
          <w:ilvl w:val="0"/>
          <w:numId w:val="0"/>
        </w:numPr>
        <w:spacing w:line="240" w:lineRule="auto"/>
        <w:ind w:left="0" w:leftChars="0" w:firstLine="480" w:firstLineChars="200"/>
        <w:rPr>
          <w:color w:val="auto"/>
          <w:sz w:val="24"/>
          <w:szCs w:val="24"/>
        </w:rPr>
      </w:pPr>
      <w:r>
        <w:rPr>
          <w:rFonts w:hint="eastAsia"/>
          <w:color w:val="auto"/>
          <w:sz w:val="24"/>
          <w:szCs w:val="24"/>
          <w:lang w:val="en-US" w:eastAsia="zh-CN"/>
        </w:rPr>
        <w:t>4）</w:t>
      </w:r>
      <w:r>
        <w:rPr>
          <w:rFonts w:hint="eastAsia"/>
          <w:color w:val="auto"/>
          <w:sz w:val="24"/>
          <w:szCs w:val="24"/>
        </w:rPr>
        <w:t>工位平面图：应反映距地面</w:t>
      </w:r>
      <w:r>
        <w:rPr>
          <w:color w:val="auto"/>
          <w:sz w:val="24"/>
          <w:szCs w:val="24"/>
        </w:rPr>
        <w:t>1200</w:t>
      </w:r>
      <w:r>
        <w:rPr>
          <w:rFonts w:hint="eastAsia"/>
          <w:color w:val="auto"/>
          <w:sz w:val="24"/>
          <w:szCs w:val="24"/>
        </w:rPr>
        <w:t>mm</w:t>
      </w:r>
      <w:r>
        <w:rPr>
          <w:color w:val="auto"/>
          <w:sz w:val="24"/>
          <w:szCs w:val="24"/>
        </w:rPr>
        <w:t>处</w:t>
      </w:r>
      <w:r>
        <w:rPr>
          <w:rFonts w:hint="eastAsia"/>
          <w:color w:val="auto"/>
          <w:sz w:val="24"/>
          <w:szCs w:val="24"/>
        </w:rPr>
        <w:t>的初始工位</w:t>
      </w:r>
      <w:r>
        <w:rPr>
          <w:color w:val="auto"/>
          <w:sz w:val="24"/>
          <w:szCs w:val="24"/>
        </w:rPr>
        <w:t>水平俯视</w:t>
      </w:r>
      <w:r>
        <w:rPr>
          <w:rFonts w:hint="eastAsia"/>
          <w:color w:val="auto"/>
          <w:sz w:val="24"/>
          <w:szCs w:val="24"/>
        </w:rPr>
        <w:t>投影（或</w:t>
      </w:r>
      <w:r>
        <w:rPr>
          <w:color w:val="auto"/>
          <w:sz w:val="24"/>
          <w:szCs w:val="24"/>
        </w:rPr>
        <w:t>剖切</w:t>
      </w:r>
      <w:r>
        <w:rPr>
          <w:rFonts w:hint="eastAsia"/>
          <w:color w:val="auto"/>
          <w:sz w:val="24"/>
          <w:szCs w:val="24"/>
        </w:rPr>
        <w:t>）所得，内视索引、主要构配件同任务内容中的工位平面图</w:t>
      </w:r>
    </w:p>
    <w:p>
      <w:pPr>
        <w:pStyle w:val="18"/>
        <w:numPr>
          <w:ilvl w:val="0"/>
          <w:numId w:val="0"/>
        </w:numPr>
        <w:spacing w:line="240" w:lineRule="auto"/>
        <w:ind w:left="0" w:leftChars="0" w:firstLine="480" w:firstLineChars="200"/>
        <w:rPr>
          <w:color w:val="auto"/>
          <w:sz w:val="24"/>
          <w:szCs w:val="24"/>
        </w:rPr>
      </w:pPr>
      <w:r>
        <w:rPr>
          <w:rFonts w:hint="eastAsia"/>
          <w:color w:val="auto"/>
          <w:sz w:val="24"/>
          <w:szCs w:val="24"/>
          <w:lang w:val="en-US" w:eastAsia="zh-CN"/>
        </w:rPr>
        <w:t>5）</w:t>
      </w:r>
      <w:r>
        <w:rPr>
          <w:rFonts w:hint="eastAsia"/>
          <w:color w:val="auto"/>
          <w:sz w:val="24"/>
          <w:szCs w:val="24"/>
        </w:rPr>
        <w:t>瓷砖面（A）立面图：应反映施工完成后的A立面（弧形壁炉墙面）可视内容，含地台、横梁及隔墙的剖切轮廓。</w:t>
      </w:r>
    </w:p>
    <w:p>
      <w:pPr>
        <w:pStyle w:val="18"/>
        <w:numPr>
          <w:ilvl w:val="0"/>
          <w:numId w:val="0"/>
        </w:numPr>
        <w:spacing w:line="240" w:lineRule="auto"/>
        <w:ind w:left="0" w:leftChars="0" w:firstLine="480" w:firstLineChars="200"/>
        <w:rPr>
          <w:color w:val="auto"/>
          <w:sz w:val="24"/>
          <w:szCs w:val="24"/>
        </w:rPr>
      </w:pPr>
      <w:r>
        <w:rPr>
          <w:rFonts w:hint="eastAsia"/>
          <w:color w:val="auto"/>
          <w:sz w:val="24"/>
          <w:szCs w:val="24"/>
          <w:lang w:val="en-US" w:eastAsia="zh-CN"/>
        </w:rPr>
        <w:t>6）</w:t>
      </w:r>
      <w:r>
        <w:rPr>
          <w:rFonts w:hint="eastAsia"/>
          <w:color w:val="auto"/>
          <w:sz w:val="24"/>
          <w:szCs w:val="24"/>
        </w:rPr>
        <w:t>剖面图包括：距地1</w:t>
      </w:r>
      <w:r>
        <w:rPr>
          <w:color w:val="auto"/>
          <w:sz w:val="24"/>
          <w:szCs w:val="24"/>
        </w:rPr>
        <w:t>200</w:t>
      </w:r>
      <w:r>
        <w:rPr>
          <w:rFonts w:hint="eastAsia"/>
          <w:color w:val="auto"/>
          <w:sz w:val="24"/>
          <w:szCs w:val="24"/>
        </w:rPr>
        <w:t>mm，距地3</w:t>
      </w:r>
      <w:r>
        <w:rPr>
          <w:color w:val="auto"/>
          <w:sz w:val="24"/>
          <w:szCs w:val="24"/>
        </w:rPr>
        <w:t>00</w:t>
      </w:r>
      <w:r>
        <w:rPr>
          <w:rFonts w:hint="eastAsia"/>
          <w:color w:val="auto"/>
          <w:sz w:val="24"/>
          <w:szCs w:val="24"/>
        </w:rPr>
        <w:t>mm水平剖面各一幅，须剖切到轻钢龙骨隔墙；壁炉竖向轴线处剖面一幅，必须剖切到彩色砖区域和壁炉造型。</w:t>
      </w:r>
    </w:p>
    <w:p>
      <w:pPr>
        <w:pStyle w:val="18"/>
        <w:numPr>
          <w:ilvl w:val="0"/>
          <w:numId w:val="0"/>
        </w:numPr>
        <w:spacing w:line="240" w:lineRule="auto"/>
        <w:ind w:left="0" w:leftChars="0" w:firstLine="480" w:firstLineChars="200"/>
        <w:rPr>
          <w:color w:val="auto"/>
          <w:sz w:val="24"/>
          <w:szCs w:val="24"/>
        </w:rPr>
      </w:pPr>
      <w:r>
        <w:rPr>
          <w:rFonts w:hint="eastAsia"/>
          <w:color w:val="auto"/>
          <w:sz w:val="24"/>
          <w:szCs w:val="24"/>
          <w:lang w:val="en-US" w:eastAsia="zh-CN"/>
        </w:rPr>
        <w:t>7）</w:t>
      </w:r>
      <w:r>
        <w:rPr>
          <w:rFonts w:hint="eastAsia"/>
          <w:color w:val="auto"/>
          <w:sz w:val="24"/>
          <w:szCs w:val="24"/>
        </w:rPr>
        <w:t>详图包括：</w:t>
      </w:r>
    </w:p>
    <w:p>
      <w:pPr>
        <w:pStyle w:val="18"/>
        <w:numPr>
          <w:ilvl w:val="0"/>
          <w:numId w:val="4"/>
        </w:numPr>
        <w:spacing w:line="240" w:lineRule="auto"/>
        <w:ind w:left="0" w:firstLine="480"/>
        <w:rPr>
          <w:color w:val="auto"/>
          <w:sz w:val="24"/>
          <w:szCs w:val="24"/>
        </w:rPr>
      </w:pPr>
      <w:r>
        <w:rPr>
          <w:rFonts w:hint="eastAsia"/>
          <w:color w:val="auto"/>
          <w:sz w:val="24"/>
          <w:szCs w:val="24"/>
        </w:rPr>
        <w:t>彩色砖区的大样图,</w:t>
      </w:r>
      <w:r>
        <w:rPr>
          <w:rFonts w:hint="eastAsia"/>
          <w:color w:val="auto"/>
          <w:sz w:val="24"/>
          <w:szCs w:val="21"/>
        </w:rPr>
        <w:t xml:space="preserve"> 应</w:t>
      </w:r>
      <w:r>
        <w:rPr>
          <w:rFonts w:hint="eastAsia"/>
          <w:color w:val="auto"/>
          <w:sz w:val="24"/>
          <w:szCs w:val="24"/>
        </w:rPr>
        <w:t>采用网格法标注，瓷砖规格应标注清楚；</w:t>
      </w:r>
    </w:p>
    <w:p>
      <w:pPr>
        <w:pStyle w:val="18"/>
        <w:numPr>
          <w:ilvl w:val="0"/>
          <w:numId w:val="4"/>
        </w:numPr>
        <w:spacing w:line="240" w:lineRule="auto"/>
        <w:ind w:left="0" w:firstLine="480"/>
        <w:rPr>
          <w:color w:val="auto"/>
          <w:sz w:val="24"/>
          <w:szCs w:val="24"/>
        </w:rPr>
      </w:pPr>
      <w:r>
        <w:rPr>
          <w:rFonts w:hint="eastAsia"/>
          <w:color w:val="auto"/>
          <w:sz w:val="24"/>
          <w:szCs w:val="24"/>
        </w:rPr>
        <w:t>壁炉造型外侧弧型部分俯视展开图，瓷砖规格应标注清楚；</w:t>
      </w:r>
    </w:p>
    <w:p>
      <w:pPr>
        <w:pStyle w:val="18"/>
        <w:numPr>
          <w:ilvl w:val="0"/>
          <w:numId w:val="4"/>
        </w:numPr>
        <w:spacing w:line="240" w:lineRule="auto"/>
        <w:ind w:left="0" w:firstLine="480"/>
        <w:rPr>
          <w:color w:val="auto"/>
          <w:sz w:val="24"/>
          <w:szCs w:val="24"/>
        </w:rPr>
      </w:pPr>
      <w:r>
        <w:rPr>
          <w:rFonts w:hint="eastAsia"/>
          <w:color w:val="auto"/>
          <w:sz w:val="24"/>
          <w:szCs w:val="24"/>
        </w:rPr>
        <w:t>瓷砖与轻钢龙骨隔墙、地台、横梁的连接节点详图</w:t>
      </w:r>
    </w:p>
    <w:p>
      <w:pPr>
        <w:pStyle w:val="18"/>
        <w:numPr>
          <w:ilvl w:val="0"/>
          <w:numId w:val="4"/>
        </w:numPr>
        <w:spacing w:line="240" w:lineRule="auto"/>
        <w:ind w:left="0" w:firstLine="480"/>
        <w:rPr>
          <w:color w:val="auto"/>
          <w:sz w:val="24"/>
          <w:szCs w:val="24"/>
        </w:rPr>
      </w:pPr>
      <w:r>
        <w:rPr>
          <w:rFonts w:hint="eastAsia"/>
          <w:color w:val="auto"/>
          <w:sz w:val="24"/>
          <w:szCs w:val="24"/>
        </w:rPr>
        <w:t>砖墙阴、阳角处镶贴节点构造详图</w:t>
      </w:r>
    </w:p>
    <w:p>
      <w:pPr>
        <w:pStyle w:val="18"/>
        <w:numPr>
          <w:ilvl w:val="0"/>
          <w:numId w:val="4"/>
        </w:numPr>
        <w:spacing w:line="240" w:lineRule="auto"/>
        <w:ind w:left="0" w:firstLine="480"/>
        <w:rPr>
          <w:color w:val="auto"/>
          <w:sz w:val="24"/>
          <w:szCs w:val="24"/>
        </w:rPr>
      </w:pPr>
      <w:r>
        <w:rPr>
          <w:rFonts w:hint="eastAsia"/>
          <w:color w:val="auto"/>
          <w:sz w:val="24"/>
          <w:szCs w:val="24"/>
        </w:rPr>
        <w:t>壁炉造型顶部立面瓷砖与外侧面（上）瓷砖拼接展开详图</w:t>
      </w:r>
    </w:p>
    <w:p>
      <w:pPr>
        <w:pStyle w:val="18"/>
        <w:spacing w:line="240" w:lineRule="auto"/>
        <w:ind w:firstLine="480"/>
        <w:rPr>
          <w:color w:val="auto"/>
          <w:sz w:val="24"/>
          <w:szCs w:val="24"/>
        </w:rPr>
      </w:pPr>
      <w:r>
        <w:rPr>
          <w:rFonts w:hint="eastAsia"/>
          <w:color w:val="auto"/>
          <w:sz w:val="24"/>
          <w:szCs w:val="24"/>
        </w:rPr>
        <w:t>备注：一张图纸不能完整表达时，可以增加相应图纸；为了布图美观，有些详图可以组合到其他图纸中。</w:t>
      </w:r>
    </w:p>
    <w:p>
      <w:pPr>
        <w:pStyle w:val="18"/>
        <w:spacing w:line="240" w:lineRule="auto"/>
        <w:ind w:firstLine="482"/>
        <w:rPr>
          <w:b/>
          <w:color w:val="auto"/>
          <w:sz w:val="24"/>
          <w:szCs w:val="24"/>
        </w:rPr>
      </w:pPr>
      <w:r>
        <w:rPr>
          <w:rFonts w:hint="eastAsia"/>
          <w:b/>
          <w:color w:val="auto"/>
          <w:sz w:val="24"/>
          <w:szCs w:val="24"/>
        </w:rPr>
        <w:t>（二）轻钢龙骨龙骨</w:t>
      </w:r>
      <w:bookmarkStart w:id="13" w:name="_Hlk51593320"/>
      <w:r>
        <w:rPr>
          <w:rFonts w:hint="eastAsia"/>
          <w:b/>
          <w:color w:val="auto"/>
          <w:sz w:val="24"/>
          <w:szCs w:val="24"/>
        </w:rPr>
        <w:t>纸面石膏板隔墙设计</w:t>
      </w:r>
      <w:bookmarkEnd w:id="13"/>
      <w:r>
        <w:rPr>
          <w:rFonts w:hint="eastAsia"/>
          <w:b/>
          <w:color w:val="auto"/>
          <w:sz w:val="24"/>
          <w:szCs w:val="24"/>
        </w:rPr>
        <w:t>（共计100分）</w:t>
      </w:r>
    </w:p>
    <w:p>
      <w:pPr>
        <w:pStyle w:val="18"/>
        <w:spacing w:line="240" w:lineRule="auto"/>
        <w:ind w:firstLine="480"/>
        <w:rPr>
          <w:b/>
          <w:color w:val="auto"/>
          <w:sz w:val="24"/>
          <w:szCs w:val="24"/>
        </w:rPr>
      </w:pPr>
      <w:r>
        <w:rPr>
          <w:rFonts w:hint="eastAsia"/>
          <w:color w:val="auto"/>
          <w:sz w:val="24"/>
          <w:szCs w:val="24"/>
        </w:rPr>
        <w:t>1、任务内容</w:t>
      </w:r>
    </w:p>
    <w:p>
      <w:pPr>
        <w:pStyle w:val="18"/>
        <w:spacing w:line="240" w:lineRule="auto"/>
        <w:ind w:firstLine="480"/>
        <w:rPr>
          <w:color w:val="auto"/>
          <w:sz w:val="24"/>
          <w:szCs w:val="24"/>
        </w:rPr>
      </w:pPr>
      <w:r>
        <w:rPr>
          <w:rFonts w:hint="eastAsia"/>
          <w:color w:val="auto"/>
          <w:sz w:val="24"/>
          <w:szCs w:val="24"/>
        </w:rPr>
        <w:t>本模块为规定任务赛项，完成面必须与附录一相同。</w:t>
      </w:r>
    </w:p>
    <w:p>
      <w:pPr>
        <w:pStyle w:val="18"/>
        <w:spacing w:line="240" w:lineRule="auto"/>
        <w:ind w:firstLine="480"/>
        <w:rPr>
          <w:color w:val="auto"/>
          <w:sz w:val="24"/>
          <w:szCs w:val="24"/>
        </w:rPr>
      </w:pPr>
      <w:r>
        <w:rPr>
          <w:rFonts w:hint="eastAsia"/>
          <w:color w:val="auto"/>
          <w:sz w:val="24"/>
          <w:szCs w:val="24"/>
        </w:rPr>
        <w:t>根据测量工位图，完成C立面轻钢龙骨纸面石膏板隔墙施工图设计。</w:t>
      </w:r>
    </w:p>
    <w:p>
      <w:pPr>
        <w:pStyle w:val="18"/>
        <w:spacing w:line="240" w:lineRule="auto"/>
        <w:ind w:firstLine="480"/>
        <w:rPr>
          <w:color w:val="auto"/>
          <w:sz w:val="24"/>
          <w:szCs w:val="24"/>
        </w:rPr>
      </w:pPr>
      <w:r>
        <w:rPr>
          <w:rFonts w:hint="eastAsia"/>
          <w:color w:val="auto"/>
          <w:sz w:val="24"/>
          <w:szCs w:val="24"/>
        </w:rPr>
        <w:t>2、</w:t>
      </w:r>
      <w:r>
        <w:rPr>
          <w:color w:val="auto"/>
          <w:sz w:val="24"/>
          <w:szCs w:val="24"/>
        </w:rPr>
        <w:t>设计要求</w:t>
      </w:r>
    </w:p>
    <w:p>
      <w:pPr>
        <w:pStyle w:val="18"/>
        <w:spacing w:line="240" w:lineRule="auto"/>
        <w:ind w:firstLine="480"/>
        <w:rPr>
          <w:color w:val="auto"/>
          <w:sz w:val="24"/>
          <w:szCs w:val="24"/>
        </w:rPr>
      </w:pPr>
      <w:r>
        <w:rPr>
          <w:rFonts w:hint="eastAsia"/>
          <w:color w:val="auto"/>
          <w:sz w:val="24"/>
          <w:szCs w:val="24"/>
        </w:rPr>
        <w:t>1）隔墙龙骨为75系列隔墙龙骨，9.5mm厚纸面石膏板。</w:t>
      </w:r>
    </w:p>
    <w:p>
      <w:pPr>
        <w:pStyle w:val="18"/>
        <w:spacing w:line="240" w:lineRule="auto"/>
        <w:ind w:firstLine="480"/>
        <w:rPr>
          <w:color w:val="auto"/>
          <w:sz w:val="24"/>
          <w:szCs w:val="24"/>
        </w:rPr>
      </w:pPr>
      <w:r>
        <w:rPr>
          <w:rFonts w:hint="eastAsia"/>
          <w:color w:val="auto"/>
          <w:sz w:val="24"/>
          <w:szCs w:val="24"/>
        </w:rPr>
        <w:t>2）必须按照赛项规程规定的材料，参照有关图集进行设计。</w:t>
      </w:r>
    </w:p>
    <w:p>
      <w:pPr>
        <w:pStyle w:val="18"/>
        <w:spacing w:line="240" w:lineRule="auto"/>
        <w:ind w:firstLine="480"/>
        <w:rPr>
          <w:color w:val="auto"/>
          <w:sz w:val="24"/>
          <w:szCs w:val="24"/>
        </w:rPr>
      </w:pPr>
      <w:r>
        <w:rPr>
          <w:rFonts w:hint="eastAsia"/>
          <w:color w:val="auto"/>
          <w:sz w:val="24"/>
          <w:szCs w:val="24"/>
        </w:rPr>
        <w:t>3）竖向龙骨间距不大于400mm</w:t>
      </w:r>
      <w:r>
        <w:rPr>
          <w:color w:val="auto"/>
          <w:sz w:val="24"/>
          <w:szCs w:val="24"/>
        </w:rPr>
        <w:t>,</w:t>
      </w:r>
      <w:r>
        <w:rPr>
          <w:rFonts w:hint="eastAsia"/>
          <w:color w:val="auto"/>
          <w:sz w:val="24"/>
          <w:szCs w:val="24"/>
        </w:rPr>
        <w:t>窗洞下方应加固，间距不大于200mm。</w:t>
      </w:r>
    </w:p>
    <w:p>
      <w:pPr>
        <w:pStyle w:val="18"/>
        <w:spacing w:line="240" w:lineRule="auto"/>
        <w:ind w:firstLine="480"/>
        <w:rPr>
          <w:color w:val="auto"/>
          <w:sz w:val="24"/>
          <w:szCs w:val="24"/>
        </w:rPr>
      </w:pPr>
      <w:r>
        <w:rPr>
          <w:rFonts w:hint="eastAsia"/>
          <w:color w:val="auto"/>
          <w:sz w:val="24"/>
          <w:szCs w:val="24"/>
        </w:rPr>
        <w:t>4）设置贯通龙骨1道，距地梁上口   mm。</w:t>
      </w:r>
    </w:p>
    <w:p>
      <w:pPr>
        <w:pStyle w:val="18"/>
        <w:spacing w:line="240" w:lineRule="auto"/>
        <w:ind w:firstLine="480"/>
        <w:rPr>
          <w:color w:val="auto"/>
          <w:sz w:val="24"/>
          <w:szCs w:val="24"/>
        </w:rPr>
      </w:pPr>
      <w:r>
        <w:rPr>
          <w:rFonts w:hint="eastAsia"/>
          <w:color w:val="auto"/>
          <w:sz w:val="24"/>
          <w:szCs w:val="24"/>
        </w:rPr>
        <w:t>5）纸面石膏板所有缝隙均为5mm。</w:t>
      </w:r>
    </w:p>
    <w:p>
      <w:pPr>
        <w:pStyle w:val="18"/>
        <w:spacing w:line="240" w:lineRule="auto"/>
        <w:ind w:firstLine="480"/>
        <w:rPr>
          <w:color w:val="auto"/>
          <w:sz w:val="24"/>
          <w:szCs w:val="24"/>
        </w:rPr>
      </w:pPr>
      <w:r>
        <w:rPr>
          <w:rFonts w:hint="eastAsia"/>
          <w:color w:val="auto"/>
          <w:sz w:val="24"/>
          <w:szCs w:val="24"/>
        </w:rPr>
        <w:t>6）设计中至少应包括m</w:t>
      </w:r>
      <w:r>
        <w:rPr>
          <w:rFonts w:hint="eastAsia"/>
          <w:color w:val="auto"/>
          <w:sz w:val="24"/>
          <w:szCs w:val="24"/>
          <w:vertAlign w:val="superscript"/>
        </w:rPr>
        <w:t>2</w:t>
      </w:r>
      <w:r>
        <w:rPr>
          <w:rFonts w:hint="eastAsia"/>
          <w:color w:val="auto"/>
          <w:sz w:val="24"/>
          <w:szCs w:val="24"/>
        </w:rPr>
        <w:t>的隔音棉，位置自定。</w:t>
      </w:r>
    </w:p>
    <w:p>
      <w:pPr>
        <w:pStyle w:val="18"/>
        <w:spacing w:line="240" w:lineRule="auto"/>
        <w:ind w:firstLine="480"/>
        <w:rPr>
          <w:color w:val="auto"/>
          <w:sz w:val="24"/>
          <w:szCs w:val="24"/>
        </w:rPr>
      </w:pPr>
      <w:r>
        <w:rPr>
          <w:rFonts w:hint="eastAsia"/>
          <w:color w:val="auto"/>
          <w:sz w:val="24"/>
          <w:szCs w:val="24"/>
        </w:rPr>
        <w:t>7）隔墙设计应包括门洞，门洞不需用石膏板封侧面。</w:t>
      </w:r>
    </w:p>
    <w:p>
      <w:pPr>
        <w:pStyle w:val="18"/>
        <w:spacing w:line="240" w:lineRule="auto"/>
        <w:ind w:firstLine="480"/>
        <w:rPr>
          <w:color w:val="auto"/>
          <w:sz w:val="24"/>
          <w:szCs w:val="24"/>
        </w:rPr>
      </w:pPr>
      <w:r>
        <w:rPr>
          <w:rFonts w:hint="eastAsia"/>
          <w:color w:val="auto"/>
          <w:sz w:val="24"/>
          <w:szCs w:val="24"/>
        </w:rPr>
        <w:t>8）隔墙设计应包括方形窗洞1个，面积不小于   m</w:t>
      </w:r>
      <w:r>
        <w:rPr>
          <w:rFonts w:hint="eastAsia"/>
          <w:color w:val="auto"/>
          <w:sz w:val="24"/>
          <w:szCs w:val="24"/>
          <w:vertAlign w:val="superscript"/>
        </w:rPr>
        <w:t>2</w:t>
      </w:r>
      <w:r>
        <w:rPr>
          <w:rFonts w:hint="eastAsia"/>
          <w:color w:val="auto"/>
          <w:sz w:val="24"/>
          <w:szCs w:val="24"/>
        </w:rPr>
        <w:t>。</w:t>
      </w:r>
    </w:p>
    <w:p>
      <w:pPr>
        <w:pStyle w:val="18"/>
        <w:spacing w:line="240" w:lineRule="auto"/>
        <w:ind w:firstLine="480"/>
        <w:rPr>
          <w:color w:val="auto"/>
          <w:sz w:val="24"/>
          <w:szCs w:val="24"/>
        </w:rPr>
      </w:pPr>
      <w:r>
        <w:rPr>
          <w:rFonts w:hint="eastAsia"/>
          <w:color w:val="auto"/>
          <w:sz w:val="24"/>
          <w:szCs w:val="24"/>
        </w:rPr>
        <w:t>9）突出墙面造型（方形）1个</w:t>
      </w:r>
      <w:r>
        <w:rPr>
          <w:rFonts w:hint="eastAsia"/>
          <w:color w:val="auto"/>
          <w:sz w:val="24"/>
          <w:szCs w:val="24"/>
          <w:lang w:eastAsia="zh-CN"/>
        </w:rPr>
        <w:t>，</w:t>
      </w:r>
      <w:r>
        <w:rPr>
          <w:rFonts w:hint="eastAsia"/>
          <w:color w:val="auto"/>
          <w:sz w:val="24"/>
          <w:szCs w:val="24"/>
          <w:lang w:val="en-US" w:eastAsia="zh-CN"/>
        </w:rPr>
        <w:t>面积不小于</w:t>
      </w:r>
      <w:r>
        <w:rPr>
          <w:rFonts w:hint="eastAsia"/>
          <w:color w:val="auto"/>
          <w:sz w:val="24"/>
          <w:szCs w:val="24"/>
        </w:rPr>
        <w:t xml:space="preserve">   m</w:t>
      </w:r>
      <w:r>
        <w:rPr>
          <w:rFonts w:hint="eastAsia"/>
          <w:color w:val="auto"/>
          <w:sz w:val="24"/>
          <w:szCs w:val="24"/>
          <w:vertAlign w:val="superscript"/>
        </w:rPr>
        <w:t>2</w:t>
      </w:r>
      <w:r>
        <w:rPr>
          <w:rFonts w:hint="eastAsia"/>
          <w:color w:val="auto"/>
          <w:sz w:val="24"/>
          <w:szCs w:val="24"/>
        </w:rPr>
        <w:t>，造型立面与墙面平行，突出墙面100mm。</w:t>
      </w:r>
    </w:p>
    <w:p>
      <w:pPr>
        <w:pStyle w:val="18"/>
        <w:spacing w:line="240" w:lineRule="auto"/>
        <w:ind w:firstLine="480"/>
        <w:rPr>
          <w:color w:val="auto"/>
          <w:sz w:val="24"/>
          <w:szCs w:val="24"/>
        </w:rPr>
      </w:pPr>
      <w:r>
        <w:rPr>
          <w:rFonts w:hint="eastAsia"/>
          <w:color w:val="auto"/>
          <w:sz w:val="24"/>
          <w:szCs w:val="24"/>
        </w:rPr>
        <w:t>10）设计开关（或插座）位置。</w:t>
      </w:r>
    </w:p>
    <w:p>
      <w:pPr>
        <w:pStyle w:val="18"/>
        <w:spacing w:line="240" w:lineRule="auto"/>
        <w:ind w:firstLine="480"/>
        <w:rPr>
          <w:color w:val="auto"/>
          <w:sz w:val="24"/>
          <w:szCs w:val="24"/>
        </w:rPr>
      </w:pPr>
      <w:r>
        <w:rPr>
          <w:rFonts w:hint="eastAsia"/>
          <w:color w:val="auto"/>
          <w:sz w:val="24"/>
          <w:szCs w:val="24"/>
        </w:rPr>
        <w:t>11）隔墙顶与天梁转角处设置木质阴角线一道。</w:t>
      </w:r>
    </w:p>
    <w:p>
      <w:pPr>
        <w:pStyle w:val="18"/>
        <w:spacing w:line="240" w:lineRule="auto"/>
        <w:ind w:firstLine="480"/>
        <w:rPr>
          <w:color w:val="auto"/>
          <w:sz w:val="24"/>
          <w:szCs w:val="24"/>
        </w:rPr>
      </w:pPr>
      <w:r>
        <w:rPr>
          <w:rFonts w:hint="eastAsia"/>
          <w:color w:val="auto"/>
          <w:sz w:val="24"/>
          <w:szCs w:val="24"/>
        </w:rPr>
        <w:t>12）以上纸面石膏板隔墙设计图纸需按规范布局、规范出图（剖、立面及节点详图），纸张为A3横向，图名命名不得泄露有关参赛者信息。如有泄露，经评分裁判确认签字后，按“</w:t>
      </w:r>
      <w:r>
        <w:rPr>
          <w:color w:val="auto"/>
          <w:sz w:val="24"/>
          <w:szCs w:val="24"/>
        </w:rPr>
        <w:t>0分”处理。</w:t>
      </w:r>
    </w:p>
    <w:p>
      <w:pPr>
        <w:pStyle w:val="18"/>
        <w:spacing w:line="240" w:lineRule="auto"/>
        <w:ind w:firstLine="480"/>
        <w:rPr>
          <w:color w:val="auto"/>
          <w:sz w:val="24"/>
          <w:szCs w:val="24"/>
        </w:rPr>
      </w:pPr>
      <w:r>
        <w:rPr>
          <w:rFonts w:hint="eastAsia"/>
          <w:color w:val="auto"/>
          <w:sz w:val="24"/>
          <w:szCs w:val="24"/>
        </w:rPr>
        <w:t>3、图纸组成及要求</w:t>
      </w:r>
    </w:p>
    <w:p>
      <w:pPr>
        <w:pStyle w:val="18"/>
        <w:numPr>
          <w:ilvl w:val="0"/>
          <w:numId w:val="5"/>
        </w:numPr>
        <w:spacing w:line="240" w:lineRule="auto"/>
        <w:ind w:left="0" w:firstLine="410" w:firstLineChars="171"/>
        <w:rPr>
          <w:color w:val="auto"/>
          <w:sz w:val="24"/>
          <w:szCs w:val="24"/>
        </w:rPr>
      </w:pPr>
      <w:r>
        <w:rPr>
          <w:rFonts w:hint="eastAsia"/>
          <w:color w:val="auto"/>
          <w:sz w:val="24"/>
          <w:szCs w:val="24"/>
        </w:rPr>
        <w:t>封面：包括图框、项目名称、专业及设计深度、设计时间。</w:t>
      </w:r>
    </w:p>
    <w:p>
      <w:pPr>
        <w:pStyle w:val="18"/>
        <w:numPr>
          <w:ilvl w:val="0"/>
          <w:numId w:val="5"/>
        </w:numPr>
        <w:spacing w:line="240" w:lineRule="auto"/>
        <w:ind w:left="0" w:firstLine="410" w:firstLineChars="171"/>
        <w:rPr>
          <w:color w:val="auto"/>
          <w:sz w:val="24"/>
          <w:szCs w:val="24"/>
        </w:rPr>
      </w:pPr>
      <w:r>
        <w:rPr>
          <w:rFonts w:hint="eastAsia"/>
          <w:color w:val="auto"/>
          <w:sz w:val="24"/>
          <w:szCs w:val="24"/>
        </w:rPr>
        <w:t>图纸目录：包括图框、标题栏（以下略）、序号、图号、图纸名称、图幅、版本号。</w:t>
      </w:r>
    </w:p>
    <w:p>
      <w:pPr>
        <w:pStyle w:val="18"/>
        <w:numPr>
          <w:ilvl w:val="0"/>
          <w:numId w:val="5"/>
        </w:numPr>
        <w:spacing w:line="240" w:lineRule="auto"/>
        <w:ind w:left="0" w:firstLine="410" w:firstLineChars="171"/>
        <w:rPr>
          <w:color w:val="auto"/>
          <w:sz w:val="24"/>
          <w:szCs w:val="24"/>
        </w:rPr>
      </w:pPr>
      <w:r>
        <w:rPr>
          <w:rFonts w:hint="eastAsia"/>
          <w:color w:val="auto"/>
          <w:sz w:val="24"/>
          <w:szCs w:val="24"/>
        </w:rPr>
        <w:t>设计说明：包括工程概况、设计依据、创意说明、施工工艺及要点、质量保证措施、绿色及安全、文明施工要求、图例说明、装饰材料表。</w:t>
      </w:r>
    </w:p>
    <w:p>
      <w:pPr>
        <w:pStyle w:val="18"/>
        <w:numPr>
          <w:ilvl w:val="0"/>
          <w:numId w:val="5"/>
        </w:numPr>
        <w:spacing w:line="240" w:lineRule="auto"/>
        <w:ind w:left="0" w:firstLine="410" w:firstLineChars="171"/>
        <w:rPr>
          <w:color w:val="auto"/>
          <w:sz w:val="24"/>
          <w:szCs w:val="24"/>
        </w:rPr>
      </w:pPr>
      <w:r>
        <w:rPr>
          <w:rFonts w:hint="eastAsia"/>
          <w:color w:val="auto"/>
          <w:sz w:val="24"/>
          <w:szCs w:val="24"/>
        </w:rPr>
        <w:t>工位平面图：应反映距地面</w:t>
      </w:r>
      <w:r>
        <w:rPr>
          <w:color w:val="auto"/>
          <w:sz w:val="24"/>
          <w:szCs w:val="24"/>
        </w:rPr>
        <w:t>1200</w:t>
      </w:r>
      <w:r>
        <w:rPr>
          <w:rFonts w:hint="eastAsia"/>
          <w:color w:val="auto"/>
          <w:sz w:val="24"/>
          <w:szCs w:val="24"/>
        </w:rPr>
        <w:t>mm</w:t>
      </w:r>
      <w:r>
        <w:rPr>
          <w:color w:val="auto"/>
          <w:sz w:val="24"/>
          <w:szCs w:val="24"/>
        </w:rPr>
        <w:t>处</w:t>
      </w:r>
      <w:r>
        <w:rPr>
          <w:rFonts w:hint="eastAsia"/>
          <w:color w:val="auto"/>
          <w:sz w:val="24"/>
          <w:szCs w:val="24"/>
        </w:rPr>
        <w:t>的初始工位</w:t>
      </w:r>
      <w:r>
        <w:rPr>
          <w:color w:val="auto"/>
          <w:sz w:val="24"/>
          <w:szCs w:val="24"/>
        </w:rPr>
        <w:t>水平俯视</w:t>
      </w:r>
      <w:r>
        <w:rPr>
          <w:rFonts w:hint="eastAsia"/>
          <w:color w:val="auto"/>
          <w:sz w:val="24"/>
          <w:szCs w:val="24"/>
        </w:rPr>
        <w:t>投影（或</w:t>
      </w:r>
      <w:r>
        <w:rPr>
          <w:color w:val="auto"/>
          <w:sz w:val="24"/>
          <w:szCs w:val="24"/>
        </w:rPr>
        <w:t>剖切</w:t>
      </w:r>
      <w:r>
        <w:rPr>
          <w:rFonts w:hint="eastAsia"/>
          <w:color w:val="auto"/>
          <w:sz w:val="24"/>
          <w:szCs w:val="24"/>
        </w:rPr>
        <w:t>）所得，内视索引、主要构配件同任务内容中的工位平面图。</w:t>
      </w:r>
    </w:p>
    <w:p>
      <w:pPr>
        <w:pStyle w:val="18"/>
        <w:numPr>
          <w:ilvl w:val="0"/>
          <w:numId w:val="5"/>
        </w:numPr>
        <w:spacing w:line="240" w:lineRule="auto"/>
        <w:ind w:left="0" w:firstLine="410" w:firstLineChars="171"/>
        <w:rPr>
          <w:color w:val="auto"/>
          <w:sz w:val="24"/>
          <w:szCs w:val="24"/>
        </w:rPr>
      </w:pPr>
      <w:r>
        <w:rPr>
          <w:rFonts w:hint="eastAsia"/>
          <w:color w:val="auto"/>
          <w:sz w:val="24"/>
          <w:szCs w:val="24"/>
        </w:rPr>
        <w:t>隔墙（C）立面图包括：</w:t>
      </w:r>
    </w:p>
    <w:p>
      <w:pPr>
        <w:pStyle w:val="18"/>
        <w:numPr>
          <w:ilvl w:val="0"/>
          <w:numId w:val="6"/>
        </w:numPr>
        <w:spacing w:line="240" w:lineRule="auto"/>
        <w:ind w:left="0" w:firstLine="410" w:firstLineChars="171"/>
        <w:rPr>
          <w:color w:val="auto"/>
          <w:sz w:val="24"/>
          <w:szCs w:val="24"/>
        </w:rPr>
      </w:pPr>
      <w:r>
        <w:rPr>
          <w:rFonts w:hint="eastAsia"/>
          <w:color w:val="auto"/>
          <w:sz w:val="24"/>
          <w:szCs w:val="24"/>
        </w:rPr>
        <w:t>纸面石膏板布置图：应反映石膏板的切割与拼缝情况，</w:t>
      </w:r>
      <w:bookmarkStart w:id="14" w:name="_Hlk106642445"/>
      <w:r>
        <w:rPr>
          <w:rFonts w:hint="eastAsia"/>
          <w:color w:val="auto"/>
          <w:sz w:val="24"/>
          <w:szCs w:val="24"/>
        </w:rPr>
        <w:t>包含两侧墙体，</w:t>
      </w:r>
      <w:bookmarkEnd w:id="14"/>
      <w:r>
        <w:rPr>
          <w:rFonts w:hint="eastAsia"/>
          <w:color w:val="auto"/>
          <w:sz w:val="24"/>
          <w:szCs w:val="24"/>
        </w:rPr>
        <w:t>并对石膏板编号；</w:t>
      </w:r>
    </w:p>
    <w:p>
      <w:pPr>
        <w:pStyle w:val="18"/>
        <w:numPr>
          <w:ilvl w:val="0"/>
          <w:numId w:val="6"/>
        </w:numPr>
        <w:spacing w:line="240" w:lineRule="auto"/>
        <w:ind w:left="0" w:firstLine="410" w:firstLineChars="171"/>
        <w:rPr>
          <w:color w:val="auto"/>
          <w:sz w:val="24"/>
          <w:szCs w:val="24"/>
        </w:rPr>
      </w:pPr>
      <w:r>
        <w:rPr>
          <w:rFonts w:hint="eastAsia"/>
          <w:color w:val="auto"/>
          <w:sz w:val="24"/>
          <w:szCs w:val="24"/>
        </w:rPr>
        <w:t>轻钢龙骨立面布置图：包含两侧墙体，应区分、标注龙骨的规格及拼接情况；</w:t>
      </w:r>
    </w:p>
    <w:p>
      <w:pPr>
        <w:pStyle w:val="18"/>
        <w:numPr>
          <w:ilvl w:val="0"/>
          <w:numId w:val="6"/>
        </w:numPr>
        <w:spacing w:line="240" w:lineRule="auto"/>
        <w:ind w:left="0" w:firstLine="410" w:firstLineChars="171"/>
        <w:rPr>
          <w:color w:val="auto"/>
          <w:sz w:val="24"/>
          <w:szCs w:val="24"/>
        </w:rPr>
      </w:pPr>
      <w:r>
        <w:rPr>
          <w:rFonts w:hint="eastAsia"/>
          <w:color w:val="auto"/>
          <w:sz w:val="24"/>
          <w:szCs w:val="24"/>
        </w:rPr>
        <w:t>隔音棉布置图（也可与龙骨布置图并图）：包含两侧墙体，应隔音棉的位置及尺寸。</w:t>
      </w:r>
    </w:p>
    <w:p>
      <w:pPr>
        <w:pStyle w:val="18"/>
        <w:numPr>
          <w:ilvl w:val="0"/>
          <w:numId w:val="5"/>
        </w:numPr>
        <w:spacing w:line="240" w:lineRule="auto"/>
        <w:ind w:left="0" w:firstLine="410" w:firstLineChars="171"/>
        <w:rPr>
          <w:color w:val="auto"/>
          <w:sz w:val="24"/>
          <w:szCs w:val="24"/>
        </w:rPr>
      </w:pPr>
      <w:r>
        <w:rPr>
          <w:rFonts w:hint="eastAsia"/>
          <w:color w:val="auto"/>
          <w:sz w:val="24"/>
          <w:szCs w:val="24"/>
        </w:rPr>
        <w:t>剖面图包括：距地1</w:t>
      </w:r>
      <w:r>
        <w:rPr>
          <w:color w:val="auto"/>
          <w:sz w:val="24"/>
          <w:szCs w:val="24"/>
        </w:rPr>
        <w:t>200</w:t>
      </w:r>
      <w:r>
        <w:rPr>
          <w:rFonts w:hint="eastAsia"/>
          <w:color w:val="auto"/>
          <w:sz w:val="24"/>
          <w:szCs w:val="24"/>
        </w:rPr>
        <w:t>mm水平剖面图，需剖切到两侧墙体；竖向剖面一幅，须剖切到方形造型，隔墙定位应标识清楚。</w:t>
      </w:r>
    </w:p>
    <w:p>
      <w:pPr>
        <w:pStyle w:val="18"/>
        <w:numPr>
          <w:ilvl w:val="0"/>
          <w:numId w:val="5"/>
        </w:numPr>
        <w:spacing w:line="240" w:lineRule="auto"/>
        <w:ind w:left="0" w:firstLine="410" w:firstLineChars="171"/>
        <w:rPr>
          <w:color w:val="auto"/>
          <w:sz w:val="24"/>
          <w:szCs w:val="24"/>
        </w:rPr>
      </w:pPr>
      <w:r>
        <w:rPr>
          <w:rFonts w:hint="eastAsia"/>
          <w:color w:val="auto"/>
          <w:sz w:val="24"/>
          <w:szCs w:val="24"/>
        </w:rPr>
        <w:t>详图包括：</w:t>
      </w:r>
    </w:p>
    <w:p>
      <w:pPr>
        <w:pStyle w:val="18"/>
        <w:numPr>
          <w:ilvl w:val="0"/>
          <w:numId w:val="7"/>
        </w:numPr>
        <w:spacing w:line="240" w:lineRule="auto"/>
        <w:ind w:left="0" w:firstLine="410" w:firstLineChars="171"/>
        <w:rPr>
          <w:color w:val="auto"/>
          <w:sz w:val="24"/>
          <w:szCs w:val="24"/>
        </w:rPr>
      </w:pPr>
      <w:r>
        <w:rPr>
          <w:rFonts w:hint="eastAsia"/>
          <w:color w:val="auto"/>
          <w:sz w:val="24"/>
          <w:szCs w:val="24"/>
        </w:rPr>
        <w:t>方形造型与竖龙骨连接节点详图；</w:t>
      </w:r>
    </w:p>
    <w:p>
      <w:pPr>
        <w:pStyle w:val="18"/>
        <w:numPr>
          <w:ilvl w:val="0"/>
          <w:numId w:val="7"/>
        </w:numPr>
        <w:spacing w:line="240" w:lineRule="auto"/>
        <w:ind w:left="0" w:firstLine="410" w:firstLineChars="171"/>
        <w:rPr>
          <w:color w:val="auto"/>
          <w:sz w:val="24"/>
          <w:szCs w:val="24"/>
        </w:rPr>
      </w:pPr>
      <w:r>
        <w:rPr>
          <w:rFonts w:hint="eastAsia"/>
          <w:color w:val="auto"/>
          <w:sz w:val="24"/>
          <w:szCs w:val="24"/>
        </w:rPr>
        <w:t>阴角线节点详图；</w:t>
      </w:r>
    </w:p>
    <w:p>
      <w:pPr>
        <w:pStyle w:val="18"/>
        <w:numPr>
          <w:ilvl w:val="0"/>
          <w:numId w:val="7"/>
        </w:numPr>
        <w:spacing w:line="240" w:lineRule="auto"/>
        <w:ind w:left="0" w:firstLine="410" w:firstLineChars="171"/>
        <w:rPr>
          <w:color w:val="auto"/>
          <w:sz w:val="24"/>
          <w:szCs w:val="24"/>
        </w:rPr>
      </w:pPr>
      <w:r>
        <w:rPr>
          <w:rFonts w:hint="eastAsia"/>
          <w:color w:val="auto"/>
          <w:sz w:val="24"/>
          <w:szCs w:val="24"/>
        </w:rPr>
        <w:t>石膏板下料图，成品编号应与立面图编号对应，未使用板块标明面积；</w:t>
      </w:r>
    </w:p>
    <w:p>
      <w:pPr>
        <w:pStyle w:val="18"/>
        <w:numPr>
          <w:ilvl w:val="0"/>
          <w:numId w:val="7"/>
        </w:numPr>
        <w:spacing w:line="240" w:lineRule="auto"/>
        <w:ind w:left="0" w:firstLine="410" w:firstLineChars="171"/>
        <w:rPr>
          <w:color w:val="auto"/>
          <w:sz w:val="24"/>
          <w:szCs w:val="24"/>
        </w:rPr>
      </w:pPr>
      <w:r>
        <w:rPr>
          <w:rFonts w:hint="eastAsia"/>
          <w:color w:val="auto"/>
          <w:sz w:val="24"/>
          <w:szCs w:val="24"/>
        </w:rPr>
        <w:t>沿顶（或地）龙骨接长节点图构造详图（参考</w:t>
      </w:r>
      <w:r>
        <w:rPr>
          <w:rFonts w:hint="eastAsia"/>
          <w:color w:val="auto"/>
          <w:sz w:val="24"/>
          <w:szCs w:val="24"/>
          <w:lang w:val="en-US" w:eastAsia="zh-CN"/>
        </w:rPr>
        <w:t>GJBT-601/</w:t>
      </w:r>
      <w:r>
        <w:rPr>
          <w:rFonts w:hint="eastAsia"/>
          <w:color w:val="auto"/>
          <w:sz w:val="24"/>
          <w:szCs w:val="24"/>
        </w:rPr>
        <w:t>0</w:t>
      </w:r>
      <w:r>
        <w:rPr>
          <w:color w:val="auto"/>
          <w:sz w:val="24"/>
          <w:szCs w:val="24"/>
        </w:rPr>
        <w:t>3</w:t>
      </w:r>
      <w:r>
        <w:rPr>
          <w:rFonts w:hint="eastAsia"/>
          <w:color w:val="auto"/>
          <w:sz w:val="24"/>
          <w:szCs w:val="24"/>
        </w:rPr>
        <w:t>J</w:t>
      </w:r>
      <w:r>
        <w:rPr>
          <w:color w:val="auto"/>
          <w:sz w:val="24"/>
          <w:szCs w:val="24"/>
        </w:rPr>
        <w:t>111-1</w:t>
      </w:r>
      <w:r>
        <w:rPr>
          <w:rFonts w:hint="eastAsia"/>
          <w:color w:val="auto"/>
          <w:sz w:val="24"/>
          <w:szCs w:val="24"/>
          <w:lang w:val="en-US" w:eastAsia="zh-CN"/>
        </w:rPr>
        <w:t>；GJCT-015/07CJ03-1</w:t>
      </w:r>
      <w:r>
        <w:rPr>
          <w:rFonts w:hint="eastAsia"/>
          <w:color w:val="auto"/>
          <w:sz w:val="24"/>
          <w:szCs w:val="24"/>
        </w:rPr>
        <w:t>）；</w:t>
      </w:r>
    </w:p>
    <w:p>
      <w:pPr>
        <w:pStyle w:val="18"/>
        <w:numPr>
          <w:ilvl w:val="0"/>
          <w:numId w:val="7"/>
        </w:numPr>
        <w:spacing w:line="240" w:lineRule="auto"/>
        <w:ind w:left="0" w:firstLine="410" w:firstLineChars="171"/>
        <w:rPr>
          <w:color w:val="auto"/>
          <w:sz w:val="24"/>
          <w:szCs w:val="24"/>
        </w:rPr>
      </w:pPr>
      <w:r>
        <w:rPr>
          <w:rFonts w:hint="eastAsia"/>
          <w:color w:val="auto"/>
          <w:sz w:val="24"/>
          <w:szCs w:val="24"/>
        </w:rPr>
        <w:t>门窗转角部位的龙骨连接构造详图；</w:t>
      </w:r>
    </w:p>
    <w:p>
      <w:pPr>
        <w:pStyle w:val="18"/>
        <w:numPr>
          <w:ilvl w:val="0"/>
          <w:numId w:val="7"/>
        </w:numPr>
        <w:spacing w:line="240" w:lineRule="auto"/>
        <w:ind w:left="0" w:firstLine="410" w:firstLineChars="171"/>
        <w:rPr>
          <w:color w:val="auto"/>
          <w:sz w:val="24"/>
          <w:szCs w:val="24"/>
        </w:rPr>
      </w:pPr>
      <w:r>
        <w:rPr>
          <w:rFonts w:hint="eastAsia"/>
          <w:color w:val="auto"/>
          <w:sz w:val="24"/>
          <w:szCs w:val="24"/>
        </w:rPr>
        <w:t>通贯龙骨、支撑卡件与竖龙骨连接节点构造详图；</w:t>
      </w:r>
    </w:p>
    <w:p>
      <w:pPr>
        <w:pStyle w:val="18"/>
        <w:numPr>
          <w:ilvl w:val="0"/>
          <w:numId w:val="7"/>
        </w:numPr>
        <w:spacing w:line="240" w:lineRule="auto"/>
        <w:ind w:left="0" w:firstLine="410" w:firstLineChars="171"/>
        <w:rPr>
          <w:color w:val="auto"/>
          <w:sz w:val="24"/>
          <w:szCs w:val="24"/>
        </w:rPr>
      </w:pPr>
      <w:r>
        <w:rPr>
          <w:rFonts w:hint="eastAsia"/>
          <w:color w:val="auto"/>
          <w:sz w:val="24"/>
          <w:szCs w:val="24"/>
        </w:rPr>
        <w:t>边龙骨与抹灰面墙体连接节点构造详图。</w:t>
      </w:r>
    </w:p>
    <w:p>
      <w:pPr>
        <w:pStyle w:val="18"/>
        <w:spacing w:line="240" w:lineRule="auto"/>
        <w:ind w:firstLine="480"/>
        <w:rPr>
          <w:color w:val="auto"/>
          <w:sz w:val="24"/>
          <w:szCs w:val="24"/>
        </w:rPr>
      </w:pPr>
      <w:r>
        <w:rPr>
          <w:rFonts w:hint="eastAsia"/>
          <w:color w:val="auto"/>
          <w:sz w:val="24"/>
          <w:szCs w:val="24"/>
        </w:rPr>
        <w:t>备注：一张图纸不能完整表达时，可以增加相应图纸；为了布图美观，有些详图可以组合到其他图纸中。</w:t>
      </w:r>
    </w:p>
    <w:p>
      <w:pPr>
        <w:pStyle w:val="18"/>
        <w:spacing w:line="240" w:lineRule="auto"/>
        <w:ind w:firstLine="480"/>
        <w:rPr>
          <w:color w:val="auto"/>
          <w:sz w:val="24"/>
          <w:szCs w:val="24"/>
        </w:rPr>
      </w:pPr>
    </w:p>
    <w:p>
      <w:pPr>
        <w:pStyle w:val="18"/>
        <w:spacing w:line="240" w:lineRule="auto"/>
        <w:ind w:firstLine="0" w:firstLineChars="0"/>
        <w:rPr>
          <w:color w:val="auto"/>
          <w:sz w:val="24"/>
          <w:szCs w:val="24"/>
        </w:rPr>
      </w:pPr>
      <w:r>
        <w:rPr>
          <w:rFonts w:hint="eastAsia"/>
          <w:color w:val="auto"/>
          <w:sz w:val="24"/>
          <w:szCs w:val="24"/>
        </w:rPr>
        <w:drawing>
          <wp:inline distT="0" distB="0" distL="114300" distR="114300">
            <wp:extent cx="5479415" cy="4316095"/>
            <wp:effectExtent l="0" t="0" r="6985" b="8255"/>
            <wp:docPr id="19" name="图片 19" descr="166262652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62626526791"/>
                    <pic:cNvPicPr>
                      <a:picLocks noChangeAspect="1"/>
                    </pic:cNvPicPr>
                  </pic:nvPicPr>
                  <pic:blipFill>
                    <a:blip r:embed="rId24"/>
                    <a:stretch>
                      <a:fillRect/>
                    </a:stretch>
                  </pic:blipFill>
                  <pic:spPr>
                    <a:xfrm>
                      <a:off x="0" y="0"/>
                      <a:ext cx="5479415" cy="4316095"/>
                    </a:xfrm>
                    <a:prstGeom prst="rect">
                      <a:avLst/>
                    </a:prstGeom>
                  </pic:spPr>
                </pic:pic>
              </a:graphicData>
            </a:graphic>
          </wp:inline>
        </w:drawing>
      </w:r>
    </w:p>
    <w:p>
      <w:pPr>
        <w:pStyle w:val="18"/>
        <w:spacing w:line="240" w:lineRule="auto"/>
        <w:ind w:firstLine="480"/>
        <w:jc w:val="center"/>
        <w:rPr>
          <w:color w:val="auto"/>
          <w:sz w:val="24"/>
          <w:szCs w:val="24"/>
        </w:rPr>
      </w:pPr>
      <w:r>
        <w:rPr>
          <w:rFonts w:hint="eastAsia"/>
          <w:color w:val="auto"/>
          <w:sz w:val="24"/>
          <w:szCs w:val="24"/>
        </w:rPr>
        <w:t>A立面示意图（仅供参考）</w:t>
      </w:r>
    </w:p>
    <w:p>
      <w:pPr>
        <w:pStyle w:val="18"/>
        <w:spacing w:line="240" w:lineRule="auto"/>
        <w:ind w:firstLine="480"/>
        <w:jc w:val="center"/>
        <w:rPr>
          <w:color w:val="auto"/>
          <w:sz w:val="24"/>
          <w:szCs w:val="24"/>
        </w:rPr>
      </w:pPr>
    </w:p>
    <w:p>
      <w:pPr>
        <w:pStyle w:val="18"/>
        <w:spacing w:line="240" w:lineRule="auto"/>
        <w:ind w:firstLine="480"/>
        <w:jc w:val="center"/>
        <w:rPr>
          <w:color w:val="auto"/>
          <w:sz w:val="24"/>
          <w:szCs w:val="24"/>
        </w:rPr>
      </w:pPr>
      <w:r>
        <w:rPr>
          <w:rFonts w:hint="eastAsia"/>
          <w:color w:val="auto"/>
          <w:sz w:val="24"/>
          <w:szCs w:val="24"/>
        </w:rPr>
        <w:drawing>
          <wp:inline distT="0" distB="0" distL="114300" distR="114300">
            <wp:extent cx="5389880" cy="3294380"/>
            <wp:effectExtent l="0" t="0" r="1270" b="1270"/>
            <wp:docPr id="22" name="图片 22" descr="166262773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62627737305"/>
                    <pic:cNvPicPr>
                      <a:picLocks noChangeAspect="1"/>
                    </pic:cNvPicPr>
                  </pic:nvPicPr>
                  <pic:blipFill>
                    <a:blip r:embed="rId25"/>
                    <a:srcRect r="-52" b="7916"/>
                    <a:stretch>
                      <a:fillRect/>
                    </a:stretch>
                  </pic:blipFill>
                  <pic:spPr>
                    <a:xfrm>
                      <a:off x="0" y="0"/>
                      <a:ext cx="5389880" cy="3294380"/>
                    </a:xfrm>
                    <a:prstGeom prst="rect">
                      <a:avLst/>
                    </a:prstGeom>
                  </pic:spPr>
                </pic:pic>
              </a:graphicData>
            </a:graphic>
          </wp:inline>
        </w:drawing>
      </w:r>
    </w:p>
    <w:p>
      <w:pPr>
        <w:pStyle w:val="18"/>
        <w:spacing w:line="240" w:lineRule="auto"/>
        <w:ind w:firstLine="480"/>
        <w:jc w:val="center"/>
        <w:rPr>
          <w:color w:val="auto"/>
          <w:sz w:val="24"/>
          <w:szCs w:val="24"/>
        </w:rPr>
      </w:pPr>
      <w:r>
        <w:rPr>
          <w:rFonts w:hint="eastAsia"/>
          <w:color w:val="auto"/>
          <w:sz w:val="24"/>
          <w:szCs w:val="24"/>
        </w:rPr>
        <w:t>B立面示意图（仅供参考）</w:t>
      </w:r>
    </w:p>
    <w:p>
      <w:pPr>
        <w:pStyle w:val="18"/>
        <w:spacing w:line="240" w:lineRule="auto"/>
        <w:ind w:firstLine="480"/>
        <w:jc w:val="center"/>
        <w:rPr>
          <w:color w:val="auto"/>
          <w:sz w:val="24"/>
          <w:szCs w:val="24"/>
        </w:rPr>
      </w:pPr>
    </w:p>
    <w:p>
      <w:pPr>
        <w:pStyle w:val="18"/>
        <w:spacing w:line="240" w:lineRule="auto"/>
        <w:ind w:firstLine="480"/>
        <w:jc w:val="center"/>
        <w:rPr>
          <w:color w:val="auto"/>
          <w:sz w:val="24"/>
          <w:szCs w:val="24"/>
        </w:rPr>
      </w:pPr>
    </w:p>
    <w:p>
      <w:pPr>
        <w:pStyle w:val="18"/>
        <w:ind w:firstLine="0" w:firstLineChars="0"/>
        <w:jc w:val="center"/>
        <w:rPr>
          <w:rFonts w:hint="eastAsia"/>
          <w:b/>
          <w:color w:val="auto"/>
          <w:szCs w:val="28"/>
        </w:rPr>
      </w:pPr>
    </w:p>
    <w:p>
      <w:pPr>
        <w:pStyle w:val="18"/>
        <w:ind w:firstLine="0" w:firstLineChars="0"/>
        <w:jc w:val="center"/>
        <w:rPr>
          <w:rFonts w:hint="eastAsia"/>
          <w:b/>
          <w:color w:val="auto"/>
          <w:szCs w:val="28"/>
        </w:rPr>
      </w:pPr>
    </w:p>
    <w:p>
      <w:pPr>
        <w:pStyle w:val="18"/>
        <w:ind w:firstLine="0" w:firstLineChars="0"/>
        <w:jc w:val="center"/>
        <w:rPr>
          <w:rFonts w:hint="eastAsia"/>
          <w:b/>
          <w:color w:val="auto"/>
          <w:szCs w:val="28"/>
        </w:rPr>
      </w:pPr>
    </w:p>
    <w:p>
      <w:pPr>
        <w:pStyle w:val="18"/>
        <w:ind w:firstLine="0" w:firstLineChars="0"/>
        <w:jc w:val="center"/>
        <w:rPr>
          <w:rFonts w:hint="eastAsia"/>
          <w:b/>
          <w:color w:val="auto"/>
          <w:szCs w:val="28"/>
        </w:rPr>
      </w:pPr>
    </w:p>
    <w:p>
      <w:pPr>
        <w:pStyle w:val="18"/>
        <w:ind w:firstLine="0" w:firstLineChars="0"/>
        <w:jc w:val="center"/>
        <w:rPr>
          <w:rFonts w:hint="eastAsia"/>
          <w:b/>
          <w:color w:val="auto"/>
          <w:szCs w:val="28"/>
        </w:rPr>
      </w:pPr>
    </w:p>
    <w:p>
      <w:pPr>
        <w:pStyle w:val="18"/>
        <w:ind w:firstLine="0" w:firstLineChars="0"/>
        <w:jc w:val="center"/>
        <w:rPr>
          <w:b/>
          <w:color w:val="auto"/>
          <w:szCs w:val="28"/>
        </w:rPr>
      </w:pPr>
      <w:r>
        <w:rPr>
          <w:rFonts w:hint="eastAsia"/>
          <w:b/>
          <w:color w:val="auto"/>
          <w:szCs w:val="28"/>
        </w:rPr>
        <w:t>2023年江苏省职业学校技能大赛</w:t>
      </w:r>
    </w:p>
    <w:p>
      <w:pPr>
        <w:pStyle w:val="18"/>
        <w:ind w:firstLine="0" w:firstLineChars="0"/>
        <w:jc w:val="center"/>
        <w:rPr>
          <w:rFonts w:cs="IDÑ˛"/>
          <w:b/>
          <w:color w:val="auto"/>
          <w:kern w:val="0"/>
          <w:szCs w:val="28"/>
        </w:rPr>
      </w:pPr>
      <w:r>
        <w:rPr>
          <w:rFonts w:hint="eastAsia"/>
          <w:b/>
          <w:color w:val="auto"/>
          <w:szCs w:val="28"/>
        </w:rPr>
        <w:t>中职组、教师组</w:t>
      </w:r>
      <w:r>
        <w:rPr>
          <w:b/>
          <w:color w:val="auto"/>
          <w:szCs w:val="28"/>
        </w:rPr>
        <w:t>建筑装饰技能赛项</w:t>
      </w:r>
      <w:r>
        <w:rPr>
          <w:rFonts w:hint="eastAsia" w:cs="IDÑ˛"/>
          <w:b/>
          <w:color w:val="auto"/>
          <w:kern w:val="0"/>
          <w:szCs w:val="28"/>
        </w:rPr>
        <w:t>材料测算</w:t>
      </w:r>
      <w:r>
        <w:rPr>
          <w:rFonts w:cs="IDÑ˛"/>
          <w:b/>
          <w:color w:val="auto"/>
          <w:kern w:val="0"/>
          <w:szCs w:val="28"/>
        </w:rPr>
        <w:t>环节任务书</w:t>
      </w:r>
      <w:r>
        <w:rPr>
          <w:rFonts w:hint="eastAsia" w:cs="IDÑ˛"/>
          <w:b/>
          <w:color w:val="auto"/>
          <w:kern w:val="0"/>
          <w:szCs w:val="28"/>
        </w:rPr>
        <w:t>（样卷）</w:t>
      </w:r>
    </w:p>
    <w:p>
      <w:pPr>
        <w:pStyle w:val="18"/>
        <w:ind w:firstLine="480"/>
        <w:jc w:val="right"/>
        <w:rPr>
          <w:rFonts w:cs="IDÑ˛"/>
          <w:color w:val="auto"/>
          <w:kern w:val="0"/>
          <w:sz w:val="24"/>
          <w:szCs w:val="24"/>
        </w:rPr>
      </w:pPr>
      <w:r>
        <w:rPr>
          <w:rFonts w:cs="IDÑ˛"/>
          <w:color w:val="auto"/>
          <w:kern w:val="0"/>
          <w:sz w:val="24"/>
          <w:szCs w:val="24"/>
        </w:rPr>
        <w:t>工位号：____________</w:t>
      </w:r>
    </w:p>
    <w:p>
      <w:pPr>
        <w:pStyle w:val="18"/>
        <w:ind w:firstLine="480"/>
        <w:rPr>
          <w:color w:val="auto"/>
          <w:sz w:val="24"/>
          <w:szCs w:val="21"/>
        </w:rPr>
      </w:pPr>
    </w:p>
    <w:p>
      <w:pPr>
        <w:pStyle w:val="18"/>
        <w:ind w:firstLine="482"/>
        <w:rPr>
          <w:b/>
          <w:color w:val="auto"/>
          <w:sz w:val="24"/>
          <w:szCs w:val="24"/>
        </w:rPr>
      </w:pPr>
      <w:r>
        <w:rPr>
          <w:b/>
          <w:color w:val="auto"/>
          <w:sz w:val="24"/>
          <w:szCs w:val="24"/>
        </w:rPr>
        <w:t>一、竞赛</w:t>
      </w:r>
      <w:r>
        <w:rPr>
          <w:rFonts w:hint="eastAsia"/>
          <w:b/>
          <w:color w:val="auto"/>
          <w:sz w:val="24"/>
          <w:szCs w:val="24"/>
        </w:rPr>
        <w:t>须知</w:t>
      </w:r>
    </w:p>
    <w:p>
      <w:pPr>
        <w:pStyle w:val="18"/>
        <w:ind w:firstLine="480"/>
        <w:rPr>
          <w:color w:val="auto"/>
          <w:sz w:val="24"/>
          <w:szCs w:val="24"/>
        </w:rPr>
      </w:pPr>
      <w:r>
        <w:rPr>
          <w:color w:val="auto"/>
          <w:sz w:val="24"/>
          <w:szCs w:val="24"/>
        </w:rPr>
        <w:t>1</w:t>
      </w:r>
      <w:r>
        <w:rPr>
          <w:rFonts w:hint="eastAsia"/>
          <w:color w:val="auto"/>
          <w:sz w:val="24"/>
          <w:szCs w:val="24"/>
        </w:rPr>
        <w:t>、本竞赛环节为2人合作竞技项目，2名选手共同完成，参赛队材料测算环节总分1</w:t>
      </w:r>
      <w:r>
        <w:rPr>
          <w:color w:val="auto"/>
          <w:sz w:val="24"/>
          <w:szCs w:val="24"/>
        </w:rPr>
        <w:t>00</w:t>
      </w:r>
      <w:r>
        <w:rPr>
          <w:rFonts w:hint="eastAsia"/>
          <w:color w:val="auto"/>
          <w:sz w:val="24"/>
          <w:szCs w:val="24"/>
        </w:rPr>
        <w:t>分。</w:t>
      </w:r>
    </w:p>
    <w:p>
      <w:pPr>
        <w:pStyle w:val="18"/>
        <w:ind w:firstLine="480"/>
        <w:rPr>
          <w:color w:val="auto"/>
          <w:sz w:val="24"/>
          <w:szCs w:val="24"/>
        </w:rPr>
      </w:pPr>
      <w:r>
        <w:rPr>
          <w:color w:val="auto"/>
          <w:sz w:val="24"/>
          <w:szCs w:val="24"/>
        </w:rPr>
        <w:t>2</w:t>
      </w:r>
      <w:r>
        <w:rPr>
          <w:rFonts w:hint="eastAsia"/>
          <w:color w:val="auto"/>
          <w:sz w:val="24"/>
          <w:szCs w:val="24"/>
        </w:rPr>
        <w:t>、</w:t>
      </w:r>
      <w:r>
        <w:rPr>
          <w:color w:val="auto"/>
          <w:sz w:val="24"/>
          <w:szCs w:val="24"/>
        </w:rPr>
        <w:t>本竞赛环节总时长为连续60分钟</w:t>
      </w:r>
      <w:r>
        <w:rPr>
          <w:rFonts w:hint="eastAsia"/>
          <w:color w:val="auto"/>
          <w:sz w:val="24"/>
          <w:szCs w:val="24"/>
        </w:rPr>
        <w:t>（不含工位测量）</w:t>
      </w:r>
      <w:r>
        <w:rPr>
          <w:color w:val="auto"/>
          <w:sz w:val="24"/>
          <w:szCs w:val="24"/>
        </w:rPr>
        <w:t>。</w:t>
      </w:r>
    </w:p>
    <w:p>
      <w:pPr>
        <w:pStyle w:val="18"/>
        <w:ind w:firstLine="480"/>
        <w:rPr>
          <w:color w:val="auto"/>
          <w:sz w:val="24"/>
          <w:szCs w:val="24"/>
        </w:rPr>
      </w:pPr>
      <w:r>
        <w:rPr>
          <w:color w:val="auto"/>
          <w:sz w:val="24"/>
          <w:szCs w:val="24"/>
        </w:rPr>
        <w:t>3</w:t>
      </w:r>
      <w:r>
        <w:rPr>
          <w:rFonts w:hint="eastAsia"/>
          <w:color w:val="auto"/>
          <w:sz w:val="24"/>
          <w:szCs w:val="24"/>
        </w:rPr>
        <w:t>、竞赛时不允许携带有存贮、记忆、拍照、计算等功能的物品。</w:t>
      </w:r>
    </w:p>
    <w:p>
      <w:pPr>
        <w:pStyle w:val="18"/>
        <w:ind w:firstLine="480"/>
        <w:rPr>
          <w:color w:val="auto"/>
          <w:sz w:val="24"/>
          <w:szCs w:val="24"/>
        </w:rPr>
      </w:pPr>
      <w:r>
        <w:rPr>
          <w:color w:val="auto"/>
          <w:sz w:val="24"/>
          <w:szCs w:val="24"/>
        </w:rPr>
        <w:t>4</w:t>
      </w:r>
      <w:r>
        <w:rPr>
          <w:rFonts w:hint="eastAsia"/>
          <w:color w:val="auto"/>
          <w:sz w:val="24"/>
          <w:szCs w:val="24"/>
        </w:rPr>
        <w:t>、</w:t>
      </w:r>
      <w:r>
        <w:rPr>
          <w:color w:val="auto"/>
          <w:sz w:val="24"/>
          <w:szCs w:val="24"/>
        </w:rPr>
        <w:t>自带工具</w:t>
      </w:r>
      <w:r>
        <w:rPr>
          <w:rFonts w:hint="eastAsia"/>
          <w:color w:val="auto"/>
          <w:sz w:val="24"/>
          <w:szCs w:val="24"/>
        </w:rPr>
        <w:t>测量，对测量导致的遗漏及错误，由选手自行负责。</w:t>
      </w:r>
    </w:p>
    <w:p>
      <w:pPr>
        <w:pStyle w:val="18"/>
        <w:ind w:firstLine="480"/>
        <w:rPr>
          <w:color w:val="auto"/>
          <w:sz w:val="24"/>
          <w:szCs w:val="24"/>
        </w:rPr>
      </w:pPr>
      <w:r>
        <w:rPr>
          <w:color w:val="auto"/>
          <w:sz w:val="24"/>
          <w:szCs w:val="24"/>
        </w:rPr>
        <w:t>5</w:t>
      </w:r>
      <w:r>
        <w:rPr>
          <w:rFonts w:hint="eastAsia"/>
          <w:color w:val="auto"/>
          <w:sz w:val="24"/>
          <w:szCs w:val="24"/>
        </w:rPr>
        <w:t>、</w:t>
      </w:r>
      <w:r>
        <w:rPr>
          <w:color w:val="auto"/>
          <w:sz w:val="24"/>
          <w:szCs w:val="24"/>
        </w:rPr>
        <w:t>赛场</w:t>
      </w:r>
      <w:r>
        <w:rPr>
          <w:rFonts w:hint="eastAsia"/>
          <w:color w:val="auto"/>
          <w:sz w:val="24"/>
          <w:szCs w:val="24"/>
        </w:rPr>
        <w:t>只</w:t>
      </w:r>
      <w:r>
        <w:rPr>
          <w:color w:val="auto"/>
          <w:sz w:val="24"/>
          <w:szCs w:val="24"/>
        </w:rPr>
        <w:t>提供的装饰材料</w:t>
      </w:r>
      <w:r>
        <w:rPr>
          <w:rFonts w:hint="eastAsia"/>
          <w:color w:val="auto"/>
          <w:sz w:val="24"/>
          <w:szCs w:val="24"/>
        </w:rPr>
        <w:t>样品</w:t>
      </w:r>
      <w:r>
        <w:rPr>
          <w:color w:val="auto"/>
          <w:sz w:val="24"/>
          <w:szCs w:val="24"/>
        </w:rPr>
        <w:t>。</w:t>
      </w:r>
    </w:p>
    <w:p>
      <w:pPr>
        <w:pStyle w:val="18"/>
        <w:ind w:firstLine="480"/>
        <w:rPr>
          <w:color w:val="auto"/>
          <w:sz w:val="24"/>
          <w:szCs w:val="24"/>
        </w:rPr>
      </w:pPr>
      <w:r>
        <w:rPr>
          <w:rFonts w:hint="eastAsia"/>
          <w:color w:val="auto"/>
          <w:sz w:val="24"/>
          <w:szCs w:val="24"/>
        </w:rPr>
        <w:t>7、文件夹、设计成果文件的命名和存储</w:t>
      </w:r>
    </w:p>
    <w:p>
      <w:pPr>
        <w:pStyle w:val="18"/>
        <w:ind w:firstLine="480"/>
        <w:rPr>
          <w:color w:val="auto"/>
          <w:sz w:val="24"/>
          <w:szCs w:val="24"/>
        </w:rPr>
      </w:pPr>
      <w:r>
        <w:rPr>
          <w:rFonts w:hint="eastAsia"/>
          <w:color w:val="auto"/>
          <w:sz w:val="24"/>
          <w:szCs w:val="24"/>
        </w:rPr>
        <w:t>（1）文件夹命名</w:t>
      </w:r>
    </w:p>
    <w:p>
      <w:pPr>
        <w:ind w:firstLine="480"/>
        <w:rPr>
          <w:rFonts w:ascii="仿宋" w:hAnsi="仿宋"/>
          <w:color w:val="auto"/>
          <w:szCs w:val="24"/>
        </w:rPr>
      </w:pPr>
      <w:r>
        <w:rPr>
          <w:rFonts w:hint="eastAsia" w:ascii="仿宋" w:hAnsi="仿宋"/>
          <w:color w:val="auto"/>
          <w:szCs w:val="24"/>
        </w:rPr>
        <w:t>在电脑指定盘根目录下建立一个文件夹，按照参赛选手抽取的机位号命名，格式为“机位号+施工材料测算”。成果文件保存在文件夹中。</w:t>
      </w:r>
    </w:p>
    <w:p>
      <w:pPr>
        <w:ind w:firstLine="480"/>
        <w:rPr>
          <w:rFonts w:ascii="仿宋" w:hAnsi="仿宋"/>
          <w:color w:val="auto"/>
          <w:szCs w:val="24"/>
        </w:rPr>
      </w:pPr>
      <w:r>
        <w:rPr>
          <w:rFonts w:hint="eastAsia" w:ascii="仿宋" w:hAnsi="仿宋"/>
          <w:color w:val="auto"/>
          <w:szCs w:val="24"/>
        </w:rPr>
        <w:t>（2）成果文件的命名</w:t>
      </w:r>
    </w:p>
    <w:p>
      <w:pPr>
        <w:ind w:firstLine="480"/>
        <w:rPr>
          <w:rFonts w:ascii="仿宋" w:hAnsi="仿宋"/>
          <w:color w:val="auto"/>
          <w:szCs w:val="24"/>
        </w:rPr>
      </w:pPr>
      <w:r>
        <w:rPr>
          <w:rFonts w:hint="eastAsia" w:ascii="仿宋" w:hAnsi="仿宋"/>
          <w:color w:val="auto"/>
          <w:szCs w:val="24"/>
        </w:rPr>
        <w:t>成果文件以材料测算文件的内容命名，示例如下：</w:t>
      </w:r>
    </w:p>
    <w:p>
      <w:pPr>
        <w:ind w:firstLine="480"/>
        <w:rPr>
          <w:rFonts w:ascii="仿宋" w:hAnsi="仿宋"/>
          <w:color w:val="auto"/>
          <w:szCs w:val="24"/>
        </w:rPr>
      </w:pPr>
      <w:r>
        <w:rPr>
          <w:rFonts w:hint="eastAsia" w:ascii="仿宋" w:hAnsi="仿宋"/>
          <w:color w:val="auto"/>
          <w:szCs w:val="24"/>
        </w:rPr>
        <w:t>表格文件命名示例：“</w:t>
      </w:r>
      <w:bookmarkStart w:id="15" w:name="_Hlk89460175"/>
      <w:r>
        <w:rPr>
          <w:rFonts w:hint="eastAsia" w:ascii="仿宋" w:hAnsi="仿宋"/>
          <w:color w:val="auto"/>
          <w:szCs w:val="24"/>
        </w:rPr>
        <w:t>材料预算封面</w:t>
      </w:r>
      <w:bookmarkStart w:id="16" w:name="_Hlk66732626"/>
      <w:r>
        <w:rPr>
          <w:rFonts w:hint="eastAsia" w:ascii="仿宋" w:hAnsi="仿宋"/>
          <w:color w:val="auto"/>
          <w:szCs w:val="24"/>
        </w:rPr>
        <w:t>.</w:t>
      </w:r>
      <w:r>
        <w:rPr>
          <w:rFonts w:ascii="仿宋" w:hAnsi="仿宋"/>
          <w:color w:val="auto"/>
          <w:szCs w:val="24"/>
        </w:rPr>
        <w:t>x</w:t>
      </w:r>
      <w:r>
        <w:rPr>
          <w:rFonts w:hint="eastAsia" w:ascii="仿宋" w:hAnsi="仿宋"/>
          <w:color w:val="auto"/>
          <w:szCs w:val="24"/>
        </w:rPr>
        <w:t>ls</w:t>
      </w:r>
      <w:bookmarkEnd w:id="15"/>
      <w:bookmarkEnd w:id="16"/>
      <w:r>
        <w:rPr>
          <w:rFonts w:hint="eastAsia" w:ascii="仿宋" w:hAnsi="仿宋"/>
          <w:color w:val="auto"/>
          <w:szCs w:val="24"/>
        </w:rPr>
        <w:t>（x）</w:t>
      </w:r>
      <w:r>
        <w:rPr>
          <w:rFonts w:ascii="仿宋" w:hAnsi="仿宋"/>
          <w:color w:val="auto"/>
          <w:szCs w:val="24"/>
        </w:rPr>
        <w:t>”</w:t>
      </w:r>
      <w:r>
        <w:rPr>
          <w:rFonts w:hint="eastAsia" w:ascii="仿宋" w:hAnsi="仿宋"/>
          <w:color w:val="auto"/>
          <w:szCs w:val="24"/>
        </w:rPr>
        <w:t>或“材料预算封面</w:t>
      </w:r>
      <w:r>
        <w:rPr>
          <w:rFonts w:ascii="仿宋" w:hAnsi="仿宋"/>
          <w:color w:val="auto"/>
          <w:szCs w:val="24"/>
        </w:rPr>
        <w:t>.</w:t>
      </w:r>
      <w:r>
        <w:rPr>
          <w:rFonts w:hint="eastAsia" w:ascii="仿宋" w:hAnsi="仿宋"/>
          <w:color w:val="auto"/>
          <w:szCs w:val="24"/>
        </w:rPr>
        <w:t>doc（x）”</w:t>
      </w:r>
    </w:p>
    <w:p>
      <w:pPr>
        <w:pStyle w:val="18"/>
        <w:ind w:firstLine="480"/>
        <w:rPr>
          <w:color w:val="auto"/>
          <w:sz w:val="24"/>
          <w:szCs w:val="24"/>
        </w:rPr>
      </w:pPr>
      <w:r>
        <w:rPr>
          <w:rFonts w:hint="eastAsia"/>
          <w:color w:val="auto"/>
          <w:sz w:val="24"/>
          <w:szCs w:val="24"/>
        </w:rPr>
        <w:t>8、其他未尽事宜赛前公布</w:t>
      </w:r>
    </w:p>
    <w:p>
      <w:pPr>
        <w:pStyle w:val="18"/>
        <w:ind w:firstLine="480"/>
        <w:rPr>
          <w:color w:val="auto"/>
          <w:sz w:val="24"/>
          <w:szCs w:val="24"/>
        </w:rPr>
      </w:pPr>
      <w:r>
        <w:rPr>
          <w:rFonts w:hint="eastAsia"/>
          <w:color w:val="auto"/>
          <w:sz w:val="24"/>
          <w:szCs w:val="24"/>
        </w:rPr>
        <w:t>9、警示</w:t>
      </w:r>
    </w:p>
    <w:p>
      <w:pPr>
        <w:pStyle w:val="18"/>
        <w:ind w:firstLine="480"/>
        <w:rPr>
          <w:b/>
          <w:bCs/>
          <w:color w:val="auto"/>
          <w:sz w:val="24"/>
          <w:szCs w:val="24"/>
        </w:rPr>
      </w:pPr>
      <w:r>
        <w:rPr>
          <w:rFonts w:hint="eastAsia"/>
          <w:color w:val="auto"/>
          <w:sz w:val="24"/>
          <w:szCs w:val="24"/>
        </w:rPr>
        <w:t>（1）</w:t>
      </w:r>
      <w:r>
        <w:rPr>
          <w:rFonts w:hint="eastAsia"/>
          <w:b/>
          <w:bCs/>
          <w:color w:val="auto"/>
          <w:sz w:val="24"/>
          <w:szCs w:val="24"/>
        </w:rPr>
        <w:t>文件夹名称和设计成果文件名称不符合要求的，按“0分”处置。文件中出现“姓名、校名、机位（工位）号、参赛号”及做任何表明身份的标记（需当值裁判确认签字），均不给予评分，成绩按照“0分”处理。设计成果文件未存入相应文件夹、文件夹存储位置错误的，按未完成任务处理。</w:t>
      </w:r>
    </w:p>
    <w:p>
      <w:pPr>
        <w:pStyle w:val="18"/>
        <w:ind w:firstLine="480"/>
        <w:rPr>
          <w:color w:val="auto"/>
          <w:sz w:val="24"/>
          <w:szCs w:val="24"/>
        </w:rPr>
      </w:pPr>
      <w:r>
        <w:rPr>
          <w:rFonts w:hint="eastAsia"/>
          <w:color w:val="auto"/>
          <w:sz w:val="24"/>
          <w:szCs w:val="24"/>
        </w:rPr>
        <w:t>（2）不得提前交卷。</w:t>
      </w:r>
    </w:p>
    <w:p>
      <w:pPr>
        <w:pStyle w:val="18"/>
        <w:ind w:firstLine="480"/>
        <w:rPr>
          <w:color w:val="auto"/>
          <w:sz w:val="24"/>
          <w:szCs w:val="24"/>
        </w:rPr>
      </w:pPr>
      <w:r>
        <w:rPr>
          <w:rFonts w:hint="eastAsia"/>
          <w:color w:val="auto"/>
          <w:sz w:val="24"/>
          <w:szCs w:val="24"/>
        </w:rPr>
        <w:t>（3）为减少因突发情况造成的损失，选手应在竞赛过程中注意手动保存竞赛成果文件。</w:t>
      </w:r>
    </w:p>
    <w:p>
      <w:pPr>
        <w:pStyle w:val="18"/>
        <w:ind w:firstLine="480"/>
        <w:rPr>
          <w:color w:val="auto"/>
          <w:sz w:val="24"/>
          <w:szCs w:val="24"/>
        </w:rPr>
      </w:pPr>
      <w:r>
        <w:rPr>
          <w:rFonts w:hint="eastAsia"/>
          <w:color w:val="auto"/>
          <w:sz w:val="24"/>
          <w:szCs w:val="24"/>
        </w:rPr>
        <w:t>（4）遇到意外情况，应及时向裁判报告，听从裁判安排，不要自行处理。经现场技术支持及裁判人员鉴定，非人为原因造成的电脑及软件死机，根据情况由裁判长确定加时的时间，所加时间从选手提出报告开始计时。</w:t>
      </w:r>
    </w:p>
    <w:p>
      <w:pPr>
        <w:pStyle w:val="18"/>
        <w:ind w:firstLine="480"/>
        <w:rPr>
          <w:color w:val="auto"/>
          <w:sz w:val="24"/>
          <w:szCs w:val="24"/>
        </w:rPr>
      </w:pPr>
      <w:r>
        <w:rPr>
          <w:rFonts w:hint="eastAsia"/>
          <w:color w:val="auto"/>
          <w:sz w:val="24"/>
          <w:szCs w:val="24"/>
        </w:rPr>
        <w:t>（5）赛场提供的所有纸质材料不得带出赛场，</w:t>
      </w:r>
      <w:r>
        <w:rPr>
          <w:rFonts w:hint="eastAsia"/>
          <w:b/>
          <w:bCs/>
          <w:color w:val="auto"/>
          <w:sz w:val="24"/>
          <w:szCs w:val="24"/>
        </w:rPr>
        <w:t>离开赛场时不要关闭电脑。</w:t>
      </w:r>
      <w:r>
        <w:rPr>
          <w:rFonts w:hint="eastAsia"/>
          <w:color w:val="auto"/>
          <w:sz w:val="24"/>
          <w:szCs w:val="24"/>
        </w:rPr>
        <w:t>关机可能导致保存文件丢失由选手负责。</w:t>
      </w:r>
    </w:p>
    <w:p>
      <w:pPr>
        <w:pStyle w:val="18"/>
        <w:ind w:firstLine="482"/>
        <w:rPr>
          <w:b/>
          <w:color w:val="auto"/>
          <w:sz w:val="24"/>
          <w:szCs w:val="24"/>
        </w:rPr>
      </w:pPr>
      <w:r>
        <w:rPr>
          <w:b/>
          <w:color w:val="auto"/>
          <w:sz w:val="24"/>
          <w:szCs w:val="24"/>
        </w:rPr>
        <w:t>二、竞赛任务要求</w:t>
      </w:r>
    </w:p>
    <w:p>
      <w:pPr>
        <w:pStyle w:val="18"/>
        <w:ind w:firstLine="482"/>
        <w:rPr>
          <w:b/>
          <w:color w:val="auto"/>
          <w:sz w:val="24"/>
          <w:szCs w:val="24"/>
        </w:rPr>
      </w:pPr>
      <w:r>
        <w:rPr>
          <w:rFonts w:hint="eastAsia"/>
          <w:b/>
          <w:color w:val="auto"/>
          <w:sz w:val="24"/>
          <w:szCs w:val="24"/>
        </w:rPr>
        <w:t>（一）现场考察工位</w:t>
      </w:r>
    </w:p>
    <w:p>
      <w:pPr>
        <w:pStyle w:val="18"/>
        <w:ind w:firstLine="480"/>
        <w:rPr>
          <w:color w:val="auto"/>
          <w:sz w:val="24"/>
          <w:szCs w:val="24"/>
        </w:rPr>
      </w:pPr>
      <w:r>
        <w:rPr>
          <w:rFonts w:hint="eastAsia"/>
          <w:color w:val="auto"/>
          <w:sz w:val="24"/>
          <w:szCs w:val="24"/>
        </w:rPr>
        <w:t>与设计环节合并进行。</w:t>
      </w:r>
    </w:p>
    <w:p>
      <w:pPr>
        <w:pStyle w:val="18"/>
        <w:ind w:firstLine="480"/>
        <w:rPr>
          <w:color w:val="auto"/>
          <w:sz w:val="24"/>
          <w:szCs w:val="24"/>
        </w:rPr>
      </w:pPr>
      <w:r>
        <w:rPr>
          <w:rFonts w:hint="eastAsia"/>
          <w:color w:val="auto"/>
          <w:sz w:val="24"/>
          <w:szCs w:val="24"/>
        </w:rPr>
        <w:t>（二）材料测算环节（共计</w:t>
      </w:r>
      <w:r>
        <w:rPr>
          <w:color w:val="auto"/>
          <w:sz w:val="24"/>
          <w:szCs w:val="24"/>
        </w:rPr>
        <w:t>100</w:t>
      </w:r>
      <w:r>
        <w:rPr>
          <w:rFonts w:hint="eastAsia"/>
          <w:color w:val="auto"/>
          <w:sz w:val="24"/>
          <w:szCs w:val="24"/>
        </w:rPr>
        <w:t>分）</w:t>
      </w:r>
    </w:p>
    <w:p>
      <w:pPr>
        <w:pStyle w:val="18"/>
        <w:ind w:firstLine="480"/>
        <w:rPr>
          <w:color w:val="auto"/>
          <w:sz w:val="24"/>
          <w:szCs w:val="24"/>
        </w:rPr>
      </w:pPr>
      <w:r>
        <w:rPr>
          <w:rFonts w:hint="eastAsia"/>
          <w:color w:val="auto"/>
          <w:sz w:val="24"/>
          <w:szCs w:val="24"/>
        </w:rPr>
        <w:t>1、任务内容</w:t>
      </w:r>
    </w:p>
    <w:p>
      <w:pPr>
        <w:pStyle w:val="18"/>
        <w:ind w:firstLine="480"/>
        <w:rPr>
          <w:color w:val="auto"/>
          <w:sz w:val="24"/>
          <w:szCs w:val="24"/>
        </w:rPr>
      </w:pPr>
      <w:r>
        <w:rPr>
          <w:rFonts w:hint="eastAsia"/>
          <w:color w:val="auto"/>
          <w:sz w:val="24"/>
          <w:szCs w:val="24"/>
        </w:rPr>
        <w:t>本赛项内容为规定赛项，其中计算内容不少于竞赛规程中表10，可以合作完成。</w:t>
      </w:r>
    </w:p>
    <w:p>
      <w:pPr>
        <w:pStyle w:val="18"/>
        <w:ind w:firstLine="547" w:firstLineChars="228"/>
        <w:rPr>
          <w:color w:val="auto"/>
          <w:sz w:val="24"/>
          <w:szCs w:val="24"/>
        </w:rPr>
      </w:pPr>
      <w:r>
        <w:rPr>
          <w:rFonts w:hint="eastAsia"/>
          <w:color w:val="auto"/>
          <w:sz w:val="24"/>
          <w:szCs w:val="24"/>
        </w:rPr>
        <w:t>（1）根据设计，完成A立面墙面瓷砖镶施工所需材料的用量和费用测算；</w:t>
      </w:r>
    </w:p>
    <w:p>
      <w:pPr>
        <w:pStyle w:val="18"/>
        <w:ind w:firstLine="547" w:firstLineChars="228"/>
        <w:rPr>
          <w:color w:val="auto"/>
          <w:sz w:val="24"/>
          <w:szCs w:val="24"/>
        </w:rPr>
      </w:pPr>
      <w:r>
        <w:rPr>
          <w:rFonts w:hint="eastAsia"/>
          <w:color w:val="auto"/>
          <w:sz w:val="24"/>
          <w:szCs w:val="24"/>
        </w:rPr>
        <w:t>（2）完成B立面抹灰施工，对B面“L”型墙体转角进行水泥石灰混合砂浆抹灰施工（包括一个竖向阴角和阳角），混合砂浆配合比为1:3:9（体积比）；抹灰施工总厚度要求不低于15mm；施工区域离地100mm至顶边100mm处，靠近C立面施工到轻钢龙骨隔墙边，包括一个阴角和阳角，另一侧抹灰至墙体中线处；</w:t>
      </w:r>
    </w:p>
    <w:p>
      <w:pPr>
        <w:pStyle w:val="18"/>
        <w:ind w:firstLine="480"/>
        <w:rPr>
          <w:color w:val="auto"/>
          <w:sz w:val="24"/>
          <w:szCs w:val="24"/>
        </w:rPr>
      </w:pPr>
      <w:r>
        <w:rPr>
          <w:rFonts w:hint="eastAsia"/>
          <w:color w:val="auto"/>
          <w:sz w:val="24"/>
          <w:szCs w:val="24"/>
        </w:rPr>
        <w:t>（3）根据设计完成C立面轻钢龙骨墙体所用材料的用量和费用测算（注意：工位尺寸以任务书为准）。</w:t>
      </w:r>
    </w:p>
    <w:p>
      <w:pPr>
        <w:pStyle w:val="18"/>
        <w:ind w:firstLine="480"/>
        <w:rPr>
          <w:color w:val="auto"/>
          <w:sz w:val="24"/>
          <w:szCs w:val="24"/>
        </w:rPr>
      </w:pPr>
      <w:r>
        <w:rPr>
          <w:rFonts w:hint="eastAsia"/>
          <w:color w:val="auto"/>
          <w:sz w:val="24"/>
          <w:szCs w:val="24"/>
        </w:rPr>
        <w:t>本任务应包括：封面、编制说明、工程量计算书、材料用量分析表，材料费用计算表等内容。材料测算中，部分材料是下一步施工限额领料的依据，要求满足施工用量要求，力求计算准确，表格设计美观合理。</w:t>
      </w:r>
    </w:p>
    <w:p>
      <w:pPr>
        <w:pStyle w:val="18"/>
        <w:ind w:firstLine="480"/>
        <w:rPr>
          <w:color w:val="auto"/>
          <w:sz w:val="24"/>
          <w:szCs w:val="24"/>
        </w:rPr>
      </w:pPr>
      <w:r>
        <w:rPr>
          <w:rFonts w:hint="eastAsia"/>
          <w:color w:val="auto"/>
          <w:sz w:val="24"/>
          <w:szCs w:val="24"/>
        </w:rPr>
        <w:t>2、任务要求</w:t>
      </w:r>
    </w:p>
    <w:p>
      <w:pPr>
        <w:pStyle w:val="18"/>
        <w:ind w:firstLine="360" w:firstLineChars="150"/>
        <w:rPr>
          <w:color w:val="auto"/>
          <w:sz w:val="24"/>
          <w:szCs w:val="24"/>
        </w:rPr>
      </w:pPr>
      <w:r>
        <w:rPr>
          <w:rFonts w:hint="eastAsia"/>
          <w:color w:val="auto"/>
          <w:sz w:val="24"/>
          <w:szCs w:val="24"/>
        </w:rPr>
        <w:t>（1）材料测算的依据包括：参赛队的设计图纸、工程量计量依据和材料消耗指标依据、材料价格依据。建筑面积统一按</w:t>
      </w:r>
      <w:r>
        <w:rPr>
          <w:color w:val="auto"/>
          <w:sz w:val="24"/>
          <w:szCs w:val="24"/>
        </w:rPr>
        <w:t>m</w:t>
      </w:r>
      <w:r>
        <w:rPr>
          <w:color w:val="auto"/>
          <w:sz w:val="24"/>
          <w:szCs w:val="24"/>
          <w:vertAlign w:val="superscript"/>
        </w:rPr>
        <w:t>2</w:t>
      </w:r>
      <w:r>
        <w:rPr>
          <w:rFonts w:hint="eastAsia"/>
          <w:color w:val="auto"/>
          <w:sz w:val="24"/>
          <w:szCs w:val="24"/>
        </w:rPr>
        <w:t>考虑。</w:t>
      </w:r>
    </w:p>
    <w:p>
      <w:pPr>
        <w:pStyle w:val="18"/>
        <w:ind w:firstLine="360" w:firstLineChars="150"/>
        <w:rPr>
          <w:color w:val="auto"/>
          <w:sz w:val="24"/>
          <w:szCs w:val="24"/>
        </w:rPr>
      </w:pPr>
      <w:r>
        <w:rPr>
          <w:rFonts w:hint="eastAsia"/>
          <w:color w:val="auto"/>
          <w:sz w:val="24"/>
          <w:szCs w:val="24"/>
        </w:rPr>
        <w:t>（2）材料用量和规格必须与施工图设计相一致，内容必须包括但不限于竞赛规程中表10的内容，工位尺寸参考任务书。</w:t>
      </w:r>
    </w:p>
    <w:p>
      <w:pPr>
        <w:pStyle w:val="18"/>
        <w:ind w:firstLine="360" w:firstLineChars="150"/>
        <w:rPr>
          <w:color w:val="auto"/>
          <w:sz w:val="24"/>
          <w:szCs w:val="24"/>
        </w:rPr>
      </w:pPr>
      <w:r>
        <w:rPr>
          <w:rFonts w:hint="eastAsia"/>
          <w:color w:val="auto"/>
          <w:sz w:val="24"/>
          <w:szCs w:val="24"/>
        </w:rPr>
        <w:t>（3）封面要求采用word编制，应包括：工程名称、材料总价、单方造价、编制单位、编制人、复核人、编制时间等内容，但不得泄露本队的任何信息。字体和排版符合要求。</w:t>
      </w:r>
    </w:p>
    <w:p>
      <w:pPr>
        <w:pStyle w:val="18"/>
        <w:ind w:firstLine="360" w:firstLineChars="150"/>
        <w:rPr>
          <w:color w:val="auto"/>
          <w:sz w:val="24"/>
          <w:szCs w:val="24"/>
        </w:rPr>
      </w:pPr>
      <w:r>
        <w:rPr>
          <w:rFonts w:hint="eastAsia"/>
          <w:color w:val="auto"/>
          <w:sz w:val="24"/>
          <w:szCs w:val="24"/>
        </w:rPr>
        <w:t>（4）编制说明</w:t>
      </w:r>
      <w:bookmarkStart w:id="17" w:name="_Hlk106822538"/>
      <w:r>
        <w:rPr>
          <w:rFonts w:hint="eastAsia"/>
          <w:color w:val="auto"/>
          <w:sz w:val="24"/>
          <w:szCs w:val="24"/>
        </w:rPr>
        <w:t>采</w:t>
      </w:r>
      <w:bookmarkEnd w:id="17"/>
      <w:r>
        <w:rPr>
          <w:rFonts w:hint="eastAsia"/>
          <w:color w:val="auto"/>
          <w:sz w:val="24"/>
          <w:szCs w:val="24"/>
        </w:rPr>
        <w:t>用word编制，应包括：项目概况、建设地点、影响材料用量的施工工艺及参数说明、主要材料的质量和规格要求等。内容的最低要求：项目概况至少包括项目名称、建设规模、编制依据（应列出图纸、设计、施工、材料标准等）、工程内容（至少包含分部工程名称）；建设地点应为赛项所在县市名称；其他内容根据设计自行描述，但不得缺项。 字体和排版符合要求。</w:t>
      </w:r>
    </w:p>
    <w:p>
      <w:pPr>
        <w:pStyle w:val="18"/>
        <w:ind w:firstLine="360" w:firstLineChars="150"/>
        <w:rPr>
          <w:color w:val="auto"/>
          <w:sz w:val="24"/>
          <w:szCs w:val="24"/>
        </w:rPr>
      </w:pPr>
      <w:r>
        <w:rPr>
          <w:rFonts w:hint="eastAsia"/>
          <w:color w:val="auto"/>
          <w:sz w:val="24"/>
          <w:szCs w:val="24"/>
        </w:rPr>
        <w:t>（5）工程量计算书</w:t>
      </w:r>
      <w:bookmarkStart w:id="18" w:name="_Hlk106821389"/>
      <w:r>
        <w:rPr>
          <w:rFonts w:hint="eastAsia"/>
          <w:color w:val="auto"/>
          <w:sz w:val="24"/>
          <w:szCs w:val="24"/>
        </w:rPr>
        <w:t>采用EXCEL编制，应包括标题、表头、正表、表尾。</w:t>
      </w:r>
      <w:bookmarkEnd w:id="18"/>
      <w:r>
        <w:rPr>
          <w:rFonts w:hint="eastAsia"/>
          <w:color w:val="auto"/>
          <w:sz w:val="24"/>
          <w:szCs w:val="24"/>
        </w:rPr>
        <w:t>其中：表头应有工程名称、表号；正表应包括：项目编号、名称，计量单位，工程部位，工程量计算算式，计算结果及项目工程量合计等；表尾应有编制人、审核人、日期等。字体和排版符合要求。</w:t>
      </w:r>
    </w:p>
    <w:p>
      <w:pPr>
        <w:pStyle w:val="18"/>
        <w:ind w:firstLine="360" w:firstLineChars="150"/>
        <w:rPr>
          <w:color w:val="auto"/>
          <w:sz w:val="24"/>
          <w:szCs w:val="24"/>
        </w:rPr>
      </w:pPr>
      <w:bookmarkStart w:id="19" w:name="_Hlk106822847"/>
      <w:r>
        <w:rPr>
          <w:rFonts w:hint="eastAsia"/>
          <w:color w:val="auto"/>
          <w:sz w:val="24"/>
          <w:szCs w:val="24"/>
        </w:rPr>
        <w:t>（6）材料分析表</w:t>
      </w:r>
      <w:bookmarkEnd w:id="19"/>
      <w:r>
        <w:rPr>
          <w:rFonts w:hint="eastAsia"/>
          <w:color w:val="auto"/>
          <w:sz w:val="24"/>
          <w:szCs w:val="24"/>
        </w:rPr>
        <w:t>采用EXCEL编制，应包括标题、表头、正表、表尾。其中：表头应有工程名称、表号；正表应包括：材料编号、名称、规格、计量单位、对应的工程项目和部位、工程量（含单位）、材料单位消耗量（含净用量和损耗量）和总消耗量；表尾应有编制人、审核人、日期等。有配合比的材料（如砂浆等）要有中间计算过程，最后分解为市场材料，必要时可增加备注。</w:t>
      </w:r>
      <w:bookmarkStart w:id="20" w:name="_Hlk106822783"/>
      <w:r>
        <w:rPr>
          <w:rFonts w:hint="eastAsia"/>
          <w:color w:val="auto"/>
          <w:sz w:val="24"/>
          <w:szCs w:val="24"/>
        </w:rPr>
        <w:t>材料用量分析准确，计量单位合理，工程量数据应与工程量计算书对应。</w:t>
      </w:r>
      <w:bookmarkEnd w:id="20"/>
      <w:r>
        <w:rPr>
          <w:rFonts w:hint="eastAsia"/>
          <w:color w:val="auto"/>
          <w:sz w:val="24"/>
          <w:szCs w:val="24"/>
        </w:rPr>
        <w:t>字体和排版符合要求。</w:t>
      </w:r>
    </w:p>
    <w:p>
      <w:pPr>
        <w:pStyle w:val="18"/>
        <w:ind w:firstLine="360" w:firstLineChars="150"/>
        <w:rPr>
          <w:color w:val="auto"/>
          <w:sz w:val="24"/>
          <w:szCs w:val="24"/>
        </w:rPr>
      </w:pPr>
      <w:r>
        <w:rPr>
          <w:rFonts w:hint="eastAsia"/>
          <w:color w:val="auto"/>
          <w:sz w:val="24"/>
          <w:szCs w:val="24"/>
        </w:rPr>
        <w:t>（7）材料费用计算采表用EXCEL编制，应包括标题、表头、正表、表尾。其中：表头应有工程名称、表号；正表应有：材料编号、名称、规格、计量单位、单价、合价等，并进行费用小计和总计；表尾应有编制人、审核人、日期等。材料用量、计量单位等与材料分析表对应，材料单价表中材料与竞赛规程中表10对应。字体和排版符合要求。</w:t>
      </w:r>
    </w:p>
    <w:p>
      <w:pPr>
        <w:pStyle w:val="18"/>
        <w:ind w:firstLine="360" w:firstLineChars="150"/>
        <w:rPr>
          <w:color w:val="auto"/>
          <w:sz w:val="24"/>
          <w:szCs w:val="24"/>
        </w:rPr>
      </w:pPr>
      <w:r>
        <w:rPr>
          <w:rFonts w:hint="eastAsia"/>
          <w:color w:val="auto"/>
          <w:sz w:val="24"/>
          <w:szCs w:val="24"/>
        </w:rPr>
        <w:t>（8）必须采用指定办公、表格处理软件完成该环节的比赛内容。</w:t>
      </w:r>
    </w:p>
    <w:p>
      <w:pPr>
        <w:pStyle w:val="18"/>
        <w:ind w:firstLine="360" w:firstLineChars="150"/>
        <w:rPr>
          <w:color w:val="auto"/>
          <w:sz w:val="24"/>
          <w:szCs w:val="24"/>
        </w:rPr>
      </w:pPr>
      <w:r>
        <w:rPr>
          <w:rFonts w:hint="eastAsia"/>
          <w:color w:val="auto"/>
          <w:sz w:val="24"/>
          <w:szCs w:val="24"/>
        </w:rPr>
        <w:t>（9）材料单价见附件。</w:t>
      </w:r>
    </w:p>
    <w:p>
      <w:pPr>
        <w:pStyle w:val="18"/>
        <w:ind w:firstLine="0" w:firstLineChars="0"/>
        <w:jc w:val="center"/>
        <w:rPr>
          <w:rFonts w:hint="eastAsia"/>
          <w:b/>
          <w:color w:val="auto"/>
          <w:szCs w:val="28"/>
        </w:rPr>
      </w:pPr>
    </w:p>
    <w:p>
      <w:pPr>
        <w:pStyle w:val="18"/>
        <w:ind w:firstLine="0" w:firstLineChars="0"/>
        <w:jc w:val="center"/>
        <w:rPr>
          <w:rFonts w:hint="eastAsia"/>
          <w:b/>
          <w:color w:val="auto"/>
          <w:szCs w:val="28"/>
        </w:rPr>
      </w:pPr>
    </w:p>
    <w:p>
      <w:pPr>
        <w:pStyle w:val="18"/>
        <w:ind w:firstLine="0" w:firstLineChars="0"/>
        <w:jc w:val="center"/>
        <w:rPr>
          <w:rFonts w:hint="eastAsia"/>
          <w:b/>
          <w:color w:val="auto"/>
          <w:szCs w:val="28"/>
        </w:rPr>
      </w:pPr>
    </w:p>
    <w:p>
      <w:pPr>
        <w:pStyle w:val="18"/>
        <w:ind w:firstLine="0" w:firstLineChars="0"/>
        <w:jc w:val="center"/>
        <w:rPr>
          <w:rFonts w:hint="eastAsia"/>
          <w:b/>
          <w:color w:val="auto"/>
          <w:szCs w:val="28"/>
        </w:rPr>
      </w:pPr>
    </w:p>
    <w:p>
      <w:pPr>
        <w:pStyle w:val="18"/>
        <w:ind w:firstLine="0" w:firstLineChars="0"/>
        <w:jc w:val="center"/>
        <w:rPr>
          <w:rFonts w:hint="eastAsia"/>
          <w:b/>
          <w:color w:val="auto"/>
          <w:szCs w:val="28"/>
        </w:rPr>
      </w:pPr>
    </w:p>
    <w:p>
      <w:pPr>
        <w:pStyle w:val="18"/>
        <w:ind w:firstLine="0" w:firstLineChars="0"/>
        <w:jc w:val="center"/>
        <w:rPr>
          <w:rFonts w:hint="eastAsia"/>
          <w:b/>
          <w:color w:val="auto"/>
          <w:szCs w:val="28"/>
        </w:rPr>
      </w:pPr>
    </w:p>
    <w:p>
      <w:pPr>
        <w:pStyle w:val="18"/>
        <w:ind w:firstLine="0" w:firstLineChars="0"/>
        <w:jc w:val="center"/>
        <w:rPr>
          <w:b/>
          <w:color w:val="auto"/>
          <w:szCs w:val="28"/>
        </w:rPr>
      </w:pPr>
      <w:r>
        <w:rPr>
          <w:rFonts w:hint="eastAsia"/>
          <w:b/>
          <w:color w:val="auto"/>
          <w:szCs w:val="28"/>
        </w:rPr>
        <w:t>2023年江苏省职业学校技能大赛</w:t>
      </w:r>
    </w:p>
    <w:p>
      <w:pPr>
        <w:pStyle w:val="18"/>
        <w:ind w:firstLine="0" w:firstLineChars="0"/>
        <w:jc w:val="center"/>
        <w:rPr>
          <w:rFonts w:cs="IDÑ˛"/>
          <w:b/>
          <w:color w:val="auto"/>
          <w:kern w:val="0"/>
          <w:szCs w:val="28"/>
        </w:rPr>
      </w:pPr>
      <w:r>
        <w:rPr>
          <w:rFonts w:hint="eastAsia"/>
          <w:b/>
          <w:color w:val="auto"/>
          <w:szCs w:val="28"/>
        </w:rPr>
        <w:t>中职组、教师组</w:t>
      </w:r>
      <w:r>
        <w:rPr>
          <w:b/>
          <w:color w:val="auto"/>
          <w:szCs w:val="28"/>
        </w:rPr>
        <w:t>建筑装饰技能赛项</w:t>
      </w:r>
      <w:r>
        <w:rPr>
          <w:rFonts w:hint="eastAsia" w:cs="IDÑ˛"/>
          <w:b/>
          <w:color w:val="auto"/>
          <w:kern w:val="0"/>
          <w:szCs w:val="28"/>
        </w:rPr>
        <w:t>施工</w:t>
      </w:r>
      <w:r>
        <w:rPr>
          <w:rFonts w:cs="IDÑ˛"/>
          <w:b/>
          <w:color w:val="auto"/>
          <w:kern w:val="0"/>
          <w:szCs w:val="28"/>
        </w:rPr>
        <w:t>环节任务书</w:t>
      </w:r>
      <w:r>
        <w:rPr>
          <w:rFonts w:hint="eastAsia" w:cs="IDÑ˛"/>
          <w:b/>
          <w:color w:val="auto"/>
          <w:kern w:val="0"/>
          <w:szCs w:val="28"/>
        </w:rPr>
        <w:t>（样卷）</w:t>
      </w:r>
    </w:p>
    <w:p>
      <w:pPr>
        <w:pStyle w:val="18"/>
        <w:ind w:firstLine="422"/>
        <w:rPr>
          <w:b/>
          <w:color w:val="auto"/>
          <w:sz w:val="21"/>
          <w:szCs w:val="21"/>
        </w:rPr>
      </w:pPr>
    </w:p>
    <w:p>
      <w:pPr>
        <w:pStyle w:val="18"/>
        <w:ind w:firstLine="480"/>
        <w:jc w:val="right"/>
        <w:rPr>
          <w:rFonts w:cs="IDÑ˛"/>
          <w:color w:val="auto"/>
          <w:kern w:val="0"/>
          <w:sz w:val="24"/>
          <w:szCs w:val="24"/>
        </w:rPr>
      </w:pPr>
      <w:r>
        <w:rPr>
          <w:rFonts w:cs="IDÑ˛"/>
          <w:color w:val="auto"/>
          <w:kern w:val="0"/>
          <w:sz w:val="24"/>
          <w:szCs w:val="24"/>
        </w:rPr>
        <w:t>工位号：____________</w:t>
      </w:r>
    </w:p>
    <w:p>
      <w:pPr>
        <w:pStyle w:val="18"/>
        <w:ind w:firstLine="482"/>
        <w:rPr>
          <w:b/>
          <w:color w:val="auto"/>
          <w:sz w:val="24"/>
          <w:szCs w:val="24"/>
        </w:rPr>
      </w:pPr>
      <w:r>
        <w:rPr>
          <w:b/>
          <w:color w:val="auto"/>
          <w:sz w:val="24"/>
          <w:szCs w:val="24"/>
        </w:rPr>
        <w:t>一、竞赛</w:t>
      </w:r>
      <w:r>
        <w:rPr>
          <w:rFonts w:hint="eastAsia"/>
          <w:b/>
          <w:color w:val="auto"/>
          <w:sz w:val="24"/>
          <w:szCs w:val="24"/>
        </w:rPr>
        <w:t>须知</w:t>
      </w:r>
    </w:p>
    <w:p>
      <w:pPr>
        <w:pStyle w:val="18"/>
        <w:ind w:firstLine="480"/>
        <w:rPr>
          <w:color w:val="auto"/>
          <w:sz w:val="24"/>
          <w:szCs w:val="24"/>
        </w:rPr>
      </w:pPr>
      <w:r>
        <w:rPr>
          <w:rFonts w:hint="eastAsia"/>
          <w:color w:val="auto"/>
          <w:sz w:val="24"/>
          <w:szCs w:val="24"/>
        </w:rPr>
        <w:t>1、本项竞赛内容必须以设计环节成果（打印好的图纸）为唯一依据，如需变更必须征得裁判长同意。</w:t>
      </w:r>
    </w:p>
    <w:p>
      <w:pPr>
        <w:pStyle w:val="18"/>
        <w:ind w:firstLine="480"/>
        <w:rPr>
          <w:color w:val="auto"/>
          <w:sz w:val="24"/>
          <w:szCs w:val="24"/>
        </w:rPr>
      </w:pPr>
      <w:r>
        <w:rPr>
          <w:rFonts w:hint="eastAsia"/>
          <w:color w:val="auto"/>
          <w:sz w:val="24"/>
          <w:szCs w:val="24"/>
        </w:rPr>
        <w:t>2、</w:t>
      </w:r>
      <w:r>
        <w:rPr>
          <w:color w:val="auto"/>
          <w:sz w:val="24"/>
          <w:szCs w:val="24"/>
        </w:rPr>
        <w:t>本竞赛环节为2人合作竞技项目</w:t>
      </w:r>
      <w:r>
        <w:rPr>
          <w:rFonts w:hint="eastAsia"/>
          <w:color w:val="auto"/>
          <w:sz w:val="24"/>
          <w:szCs w:val="24"/>
        </w:rPr>
        <w:t>，时间为360</w:t>
      </w:r>
      <w:r>
        <w:rPr>
          <w:color w:val="auto"/>
          <w:sz w:val="24"/>
          <w:szCs w:val="24"/>
        </w:rPr>
        <w:t>分</w:t>
      </w:r>
      <w:r>
        <w:rPr>
          <w:rFonts w:hint="eastAsia"/>
          <w:color w:val="auto"/>
          <w:sz w:val="24"/>
          <w:szCs w:val="24"/>
        </w:rPr>
        <w:t>钟（教师组300分钟）。给出“墙砖镶贴施工”“隔墙施工”和“抹灰施工”等三项得分（教师组不做抹灰施工）</w:t>
      </w:r>
      <w:r>
        <w:rPr>
          <w:color w:val="auto"/>
          <w:sz w:val="24"/>
          <w:szCs w:val="24"/>
        </w:rPr>
        <w:t>。</w:t>
      </w:r>
    </w:p>
    <w:p>
      <w:pPr>
        <w:pStyle w:val="18"/>
        <w:ind w:firstLine="480"/>
        <w:rPr>
          <w:color w:val="auto"/>
          <w:sz w:val="24"/>
          <w:szCs w:val="24"/>
        </w:rPr>
      </w:pPr>
      <w:r>
        <w:rPr>
          <w:rFonts w:hint="eastAsia"/>
          <w:color w:val="auto"/>
          <w:sz w:val="24"/>
          <w:szCs w:val="24"/>
        </w:rPr>
        <w:t>3、</w:t>
      </w:r>
      <w:r>
        <w:rPr>
          <w:color w:val="auto"/>
          <w:sz w:val="24"/>
          <w:szCs w:val="24"/>
        </w:rPr>
        <w:t>自带工具、设备如发生</w:t>
      </w:r>
      <w:r>
        <w:rPr>
          <w:rFonts w:hint="eastAsia"/>
          <w:color w:val="auto"/>
          <w:sz w:val="24"/>
          <w:szCs w:val="24"/>
        </w:rPr>
        <w:t>遗</w:t>
      </w:r>
      <w:r>
        <w:rPr>
          <w:color w:val="auto"/>
          <w:sz w:val="24"/>
          <w:szCs w:val="24"/>
        </w:rPr>
        <w:t>漏及损坏，责任</w:t>
      </w:r>
      <w:r>
        <w:rPr>
          <w:rFonts w:hint="eastAsia"/>
          <w:color w:val="auto"/>
          <w:sz w:val="24"/>
          <w:szCs w:val="24"/>
        </w:rPr>
        <w:t>自</w:t>
      </w:r>
      <w:r>
        <w:rPr>
          <w:color w:val="auto"/>
          <w:sz w:val="24"/>
          <w:szCs w:val="24"/>
        </w:rPr>
        <w:t>负。竞赛规定以外的工具、设备不得带入赛场。</w:t>
      </w:r>
    </w:p>
    <w:p>
      <w:pPr>
        <w:pStyle w:val="18"/>
        <w:ind w:firstLine="480"/>
        <w:rPr>
          <w:color w:val="auto"/>
          <w:sz w:val="24"/>
          <w:szCs w:val="24"/>
        </w:rPr>
      </w:pPr>
      <w:r>
        <w:rPr>
          <w:rFonts w:hint="eastAsia"/>
          <w:color w:val="auto"/>
          <w:sz w:val="24"/>
          <w:szCs w:val="24"/>
        </w:rPr>
        <w:t>3、竞赛过程中请参选手注意赛场纪律，严格按照操作规程施工。正确佩戴和使用劳保用品，安全文明施工。</w:t>
      </w:r>
    </w:p>
    <w:p>
      <w:pPr>
        <w:pStyle w:val="18"/>
        <w:ind w:firstLine="480"/>
        <w:rPr>
          <w:color w:val="auto"/>
          <w:sz w:val="24"/>
          <w:szCs w:val="24"/>
        </w:rPr>
      </w:pPr>
      <w:r>
        <w:rPr>
          <w:rFonts w:hint="eastAsia"/>
          <w:color w:val="auto"/>
          <w:sz w:val="24"/>
          <w:szCs w:val="24"/>
        </w:rPr>
        <w:t>5、</w:t>
      </w:r>
      <w:r>
        <w:rPr>
          <w:color w:val="auto"/>
          <w:sz w:val="24"/>
          <w:szCs w:val="24"/>
        </w:rPr>
        <w:t>竞赛过程中遇到意外情况，应及时向当值裁判报告</w:t>
      </w:r>
      <w:r>
        <w:rPr>
          <w:rFonts w:hint="eastAsia"/>
          <w:color w:val="auto"/>
          <w:sz w:val="24"/>
          <w:szCs w:val="24"/>
        </w:rPr>
        <w:t>，</w:t>
      </w:r>
      <w:r>
        <w:rPr>
          <w:color w:val="auto"/>
          <w:sz w:val="24"/>
          <w:szCs w:val="24"/>
        </w:rPr>
        <w:t>听从</w:t>
      </w:r>
      <w:r>
        <w:rPr>
          <w:rFonts w:hint="eastAsia"/>
          <w:color w:val="auto"/>
          <w:sz w:val="24"/>
          <w:szCs w:val="24"/>
        </w:rPr>
        <w:t>裁判</w:t>
      </w:r>
      <w:r>
        <w:rPr>
          <w:color w:val="auto"/>
          <w:sz w:val="24"/>
          <w:szCs w:val="24"/>
        </w:rPr>
        <w:t>安排</w:t>
      </w:r>
      <w:r>
        <w:rPr>
          <w:rFonts w:hint="eastAsia"/>
          <w:color w:val="auto"/>
          <w:sz w:val="24"/>
          <w:szCs w:val="24"/>
        </w:rPr>
        <w:t>，</w:t>
      </w:r>
      <w:r>
        <w:rPr>
          <w:color w:val="auto"/>
          <w:sz w:val="24"/>
          <w:szCs w:val="24"/>
        </w:rPr>
        <w:t>不要自行处理。</w:t>
      </w:r>
    </w:p>
    <w:p>
      <w:pPr>
        <w:pStyle w:val="18"/>
        <w:ind w:firstLine="480"/>
        <w:rPr>
          <w:color w:val="auto"/>
          <w:sz w:val="24"/>
          <w:szCs w:val="24"/>
        </w:rPr>
      </w:pPr>
      <w:r>
        <w:rPr>
          <w:rFonts w:hint="eastAsia"/>
          <w:color w:val="auto"/>
          <w:sz w:val="24"/>
          <w:szCs w:val="24"/>
        </w:rPr>
        <w:t>6、</w:t>
      </w:r>
      <w:r>
        <w:rPr>
          <w:color w:val="auto"/>
          <w:sz w:val="24"/>
          <w:szCs w:val="24"/>
        </w:rPr>
        <w:t>参赛选手的着装及施工结果中不得明示或暗</w:t>
      </w:r>
      <w:r>
        <w:rPr>
          <w:rFonts w:hint="eastAsia"/>
          <w:color w:val="auto"/>
          <w:sz w:val="24"/>
          <w:szCs w:val="24"/>
        </w:rPr>
        <w:t>选手</w:t>
      </w:r>
      <w:r>
        <w:rPr>
          <w:color w:val="auto"/>
          <w:sz w:val="24"/>
          <w:szCs w:val="24"/>
        </w:rPr>
        <w:t>身份（包括姓名、 学校</w:t>
      </w:r>
      <w:r>
        <w:rPr>
          <w:rFonts w:hint="eastAsia"/>
          <w:color w:val="auto"/>
          <w:sz w:val="24"/>
          <w:szCs w:val="24"/>
        </w:rPr>
        <w:t>名</w:t>
      </w:r>
      <w:r>
        <w:rPr>
          <w:color w:val="auto"/>
          <w:sz w:val="24"/>
          <w:szCs w:val="24"/>
        </w:rPr>
        <w:t>称</w:t>
      </w:r>
      <w:r>
        <w:rPr>
          <w:rFonts w:hint="eastAsia"/>
          <w:color w:val="auto"/>
          <w:sz w:val="24"/>
          <w:szCs w:val="24"/>
        </w:rPr>
        <w:t>、市县</w:t>
      </w:r>
      <w:r>
        <w:rPr>
          <w:color w:val="auto"/>
          <w:sz w:val="24"/>
          <w:szCs w:val="24"/>
        </w:rPr>
        <w:t>名称或其他记号等），</w:t>
      </w:r>
      <w:r>
        <w:rPr>
          <w:rFonts w:hint="eastAsia"/>
          <w:color w:val="auto"/>
          <w:sz w:val="24"/>
          <w:szCs w:val="24"/>
        </w:rPr>
        <w:t>出现明示或暗示选手身份的</w:t>
      </w:r>
      <w:r>
        <w:rPr>
          <w:color w:val="auto"/>
          <w:sz w:val="24"/>
          <w:szCs w:val="24"/>
        </w:rPr>
        <w:t>情况将视为作弊。</w:t>
      </w:r>
    </w:p>
    <w:p>
      <w:pPr>
        <w:pStyle w:val="18"/>
        <w:ind w:firstLine="482"/>
        <w:rPr>
          <w:b/>
          <w:color w:val="auto"/>
          <w:sz w:val="24"/>
          <w:szCs w:val="24"/>
        </w:rPr>
      </w:pPr>
      <w:r>
        <w:rPr>
          <w:b/>
          <w:color w:val="auto"/>
          <w:sz w:val="24"/>
          <w:szCs w:val="24"/>
        </w:rPr>
        <w:t>二、竞赛任务要求</w:t>
      </w:r>
    </w:p>
    <w:p>
      <w:pPr>
        <w:pStyle w:val="18"/>
        <w:ind w:firstLine="482"/>
        <w:rPr>
          <w:b/>
          <w:color w:val="auto"/>
          <w:sz w:val="24"/>
          <w:szCs w:val="24"/>
        </w:rPr>
      </w:pPr>
      <w:r>
        <w:rPr>
          <w:b/>
          <w:color w:val="auto"/>
          <w:sz w:val="24"/>
          <w:szCs w:val="24"/>
        </w:rPr>
        <w:t>（</w:t>
      </w:r>
      <w:r>
        <w:rPr>
          <w:rFonts w:hint="eastAsia"/>
          <w:b/>
          <w:color w:val="auto"/>
          <w:sz w:val="24"/>
          <w:szCs w:val="24"/>
        </w:rPr>
        <w:t>一</w:t>
      </w:r>
      <w:r>
        <w:rPr>
          <w:b/>
          <w:color w:val="auto"/>
          <w:sz w:val="24"/>
          <w:szCs w:val="24"/>
        </w:rPr>
        <w:t>）</w:t>
      </w:r>
      <w:r>
        <w:rPr>
          <w:rFonts w:hint="eastAsia"/>
          <w:b/>
          <w:color w:val="auto"/>
          <w:sz w:val="24"/>
          <w:szCs w:val="24"/>
        </w:rPr>
        <w:t>墙面砖镶贴部分</w:t>
      </w:r>
    </w:p>
    <w:p>
      <w:pPr>
        <w:pStyle w:val="18"/>
        <w:ind w:firstLine="480"/>
        <w:rPr>
          <w:color w:val="auto"/>
          <w:sz w:val="24"/>
          <w:szCs w:val="24"/>
        </w:rPr>
      </w:pPr>
      <w:r>
        <w:rPr>
          <w:rFonts w:hint="eastAsia"/>
          <w:color w:val="auto"/>
          <w:sz w:val="24"/>
          <w:szCs w:val="24"/>
        </w:rPr>
        <w:t>按本队设计环节中A面设计图，进行镶贴施工。具体要求如下：</w:t>
      </w:r>
    </w:p>
    <w:p>
      <w:pPr>
        <w:pStyle w:val="18"/>
        <w:ind w:firstLine="480"/>
        <w:rPr>
          <w:color w:val="auto"/>
          <w:sz w:val="24"/>
          <w:szCs w:val="24"/>
        </w:rPr>
      </w:pPr>
      <w:r>
        <w:rPr>
          <w:color w:val="auto"/>
          <w:sz w:val="24"/>
          <w:szCs w:val="24"/>
        </w:rPr>
        <w:t>1</w:t>
      </w:r>
      <w:r>
        <w:rPr>
          <w:rFonts w:hint="eastAsia"/>
          <w:color w:val="auto"/>
          <w:sz w:val="24"/>
          <w:szCs w:val="24"/>
        </w:rPr>
        <w:t>、必须按图施工，如需变更设计方案，需提交现场裁判确认；</w:t>
      </w:r>
    </w:p>
    <w:p>
      <w:pPr>
        <w:pStyle w:val="18"/>
        <w:ind w:firstLine="480"/>
        <w:rPr>
          <w:color w:val="auto"/>
          <w:sz w:val="24"/>
          <w:szCs w:val="24"/>
        </w:rPr>
      </w:pPr>
      <w:r>
        <w:rPr>
          <w:color w:val="auto"/>
          <w:sz w:val="24"/>
          <w:szCs w:val="24"/>
        </w:rPr>
        <w:t>2</w:t>
      </w:r>
      <w:r>
        <w:rPr>
          <w:rFonts w:hint="eastAsia"/>
          <w:color w:val="auto"/>
          <w:sz w:val="24"/>
          <w:szCs w:val="24"/>
        </w:rPr>
        <w:t>、用湿粘方法墙砖铺贴，做好嵌缝、收口等；</w:t>
      </w:r>
    </w:p>
    <w:p>
      <w:pPr>
        <w:pStyle w:val="18"/>
        <w:ind w:firstLine="480"/>
        <w:rPr>
          <w:color w:val="auto"/>
          <w:sz w:val="24"/>
          <w:szCs w:val="24"/>
        </w:rPr>
      </w:pPr>
      <w:r>
        <w:rPr>
          <w:color w:val="auto"/>
          <w:sz w:val="24"/>
          <w:szCs w:val="24"/>
        </w:rPr>
        <w:t>3</w:t>
      </w:r>
      <w:r>
        <w:rPr>
          <w:rFonts w:hint="eastAsia"/>
          <w:color w:val="auto"/>
          <w:sz w:val="24"/>
          <w:szCs w:val="24"/>
        </w:rPr>
        <w:t>、瓷砖之间的接缝为</w:t>
      </w:r>
      <w:r>
        <w:rPr>
          <w:color w:val="auto"/>
          <w:sz w:val="24"/>
          <w:szCs w:val="24"/>
        </w:rPr>
        <w:t>3mm</w:t>
      </w:r>
      <w:r>
        <w:rPr>
          <w:rFonts w:hint="eastAsia"/>
          <w:color w:val="auto"/>
          <w:sz w:val="24"/>
          <w:szCs w:val="24"/>
        </w:rPr>
        <w:t>，瓷砖之间的阴角处接缝均为</w:t>
      </w:r>
      <w:r>
        <w:rPr>
          <w:color w:val="auto"/>
          <w:sz w:val="24"/>
          <w:szCs w:val="24"/>
        </w:rPr>
        <w:t>3mm</w:t>
      </w:r>
      <w:r>
        <w:rPr>
          <w:rFonts w:hint="eastAsia"/>
          <w:color w:val="auto"/>
          <w:sz w:val="24"/>
          <w:szCs w:val="24"/>
        </w:rPr>
        <w:t>；</w:t>
      </w:r>
    </w:p>
    <w:p>
      <w:pPr>
        <w:pStyle w:val="18"/>
        <w:ind w:firstLine="480"/>
        <w:rPr>
          <w:color w:val="auto"/>
          <w:sz w:val="24"/>
          <w:szCs w:val="24"/>
        </w:rPr>
      </w:pPr>
      <w:r>
        <w:rPr>
          <w:color w:val="auto"/>
          <w:sz w:val="24"/>
          <w:szCs w:val="24"/>
        </w:rPr>
        <w:t>4</w:t>
      </w:r>
      <w:r>
        <w:rPr>
          <w:rFonts w:hint="eastAsia"/>
          <w:color w:val="auto"/>
          <w:sz w:val="24"/>
          <w:szCs w:val="24"/>
        </w:rPr>
        <w:t>、墙面阳角处均采用双面</w:t>
      </w:r>
      <w:r>
        <w:rPr>
          <w:color w:val="auto"/>
          <w:sz w:val="24"/>
          <w:szCs w:val="24"/>
        </w:rPr>
        <w:t>45</w:t>
      </w:r>
      <w:r>
        <w:rPr>
          <w:rFonts w:hint="eastAsia"/>
          <w:color w:val="auto"/>
          <w:sz w:val="24"/>
          <w:szCs w:val="24"/>
        </w:rPr>
        <w:t>°磨边对接；</w:t>
      </w:r>
    </w:p>
    <w:p>
      <w:pPr>
        <w:pStyle w:val="18"/>
        <w:ind w:firstLine="480"/>
        <w:rPr>
          <w:color w:val="auto"/>
          <w:sz w:val="24"/>
          <w:szCs w:val="24"/>
        </w:rPr>
      </w:pPr>
      <w:r>
        <w:rPr>
          <w:rFonts w:hint="eastAsia"/>
          <w:color w:val="auto"/>
          <w:sz w:val="24"/>
          <w:szCs w:val="24"/>
        </w:rPr>
        <w:t>5、水管和线盒处需对瓷砖进行套割，不需要安装水管和线盒；</w:t>
      </w:r>
    </w:p>
    <w:p>
      <w:pPr>
        <w:pStyle w:val="18"/>
        <w:ind w:firstLine="480"/>
        <w:rPr>
          <w:color w:val="auto"/>
          <w:sz w:val="24"/>
          <w:szCs w:val="24"/>
        </w:rPr>
      </w:pPr>
      <w:r>
        <w:rPr>
          <w:rFonts w:hint="eastAsia"/>
          <w:color w:val="auto"/>
          <w:sz w:val="24"/>
          <w:szCs w:val="24"/>
        </w:rPr>
        <w:t>6、其他要求和质量要求按照有关国家标准执行。</w:t>
      </w:r>
    </w:p>
    <w:p>
      <w:pPr>
        <w:pStyle w:val="18"/>
        <w:ind w:firstLine="482"/>
        <w:rPr>
          <w:b/>
          <w:color w:val="auto"/>
          <w:sz w:val="24"/>
          <w:szCs w:val="24"/>
        </w:rPr>
      </w:pPr>
      <w:r>
        <w:rPr>
          <w:rFonts w:hint="eastAsia"/>
          <w:b/>
          <w:color w:val="auto"/>
          <w:sz w:val="24"/>
          <w:szCs w:val="24"/>
        </w:rPr>
        <w:t>（二）隔墙施工部分</w:t>
      </w:r>
    </w:p>
    <w:p>
      <w:pPr>
        <w:pStyle w:val="18"/>
        <w:ind w:firstLine="480"/>
        <w:rPr>
          <w:color w:val="auto"/>
          <w:sz w:val="24"/>
          <w:szCs w:val="24"/>
        </w:rPr>
      </w:pPr>
      <w:r>
        <w:rPr>
          <w:rFonts w:hint="eastAsia"/>
          <w:color w:val="auto"/>
          <w:sz w:val="24"/>
          <w:szCs w:val="24"/>
        </w:rPr>
        <w:t>按照本队设计环节中C面设计图，进行隔墙施工。具体要求如下：</w:t>
      </w:r>
    </w:p>
    <w:p>
      <w:pPr>
        <w:pStyle w:val="18"/>
        <w:ind w:firstLine="480"/>
        <w:rPr>
          <w:color w:val="auto"/>
          <w:sz w:val="24"/>
          <w:szCs w:val="24"/>
        </w:rPr>
      </w:pPr>
      <w:r>
        <w:rPr>
          <w:color w:val="auto"/>
          <w:sz w:val="24"/>
          <w:szCs w:val="24"/>
        </w:rPr>
        <w:t>1</w:t>
      </w:r>
      <w:r>
        <w:rPr>
          <w:rFonts w:hint="eastAsia"/>
          <w:color w:val="auto"/>
          <w:sz w:val="24"/>
          <w:szCs w:val="24"/>
        </w:rPr>
        <w:t>、必须按图施工，如需变更设计方案，需提交现场裁判确认；</w:t>
      </w:r>
    </w:p>
    <w:p>
      <w:pPr>
        <w:pStyle w:val="18"/>
        <w:ind w:firstLine="480"/>
        <w:rPr>
          <w:color w:val="auto"/>
          <w:sz w:val="24"/>
          <w:szCs w:val="24"/>
        </w:rPr>
      </w:pPr>
      <w:r>
        <w:rPr>
          <w:color w:val="auto"/>
          <w:sz w:val="24"/>
          <w:szCs w:val="24"/>
        </w:rPr>
        <w:t>2</w:t>
      </w:r>
      <w:r>
        <w:rPr>
          <w:rFonts w:hint="eastAsia"/>
          <w:color w:val="auto"/>
          <w:sz w:val="24"/>
          <w:szCs w:val="24"/>
        </w:rPr>
        <w:t>、竖向龙骨间距不大于</w:t>
      </w:r>
      <w:r>
        <w:rPr>
          <w:color w:val="auto"/>
          <w:sz w:val="24"/>
          <w:szCs w:val="24"/>
        </w:rPr>
        <w:t>400mm</w:t>
      </w:r>
      <w:r>
        <w:rPr>
          <w:rFonts w:hint="eastAsia"/>
          <w:color w:val="auto"/>
          <w:sz w:val="24"/>
          <w:szCs w:val="24"/>
        </w:rPr>
        <w:t>；</w:t>
      </w:r>
    </w:p>
    <w:p>
      <w:pPr>
        <w:pStyle w:val="18"/>
        <w:ind w:firstLine="480"/>
        <w:rPr>
          <w:color w:val="auto"/>
          <w:sz w:val="24"/>
          <w:szCs w:val="24"/>
        </w:rPr>
      </w:pPr>
      <w:r>
        <w:rPr>
          <w:color w:val="auto"/>
          <w:sz w:val="24"/>
          <w:szCs w:val="24"/>
        </w:rPr>
        <w:t>3</w:t>
      </w:r>
      <w:r>
        <w:rPr>
          <w:rFonts w:hint="eastAsia"/>
          <w:color w:val="auto"/>
          <w:sz w:val="24"/>
          <w:szCs w:val="24"/>
        </w:rPr>
        <w:t>、根据需要确定贯通龙骨数量和位置；</w:t>
      </w:r>
    </w:p>
    <w:p>
      <w:pPr>
        <w:pStyle w:val="18"/>
        <w:ind w:firstLine="480"/>
        <w:rPr>
          <w:color w:val="auto"/>
          <w:sz w:val="24"/>
          <w:szCs w:val="24"/>
        </w:rPr>
      </w:pPr>
      <w:r>
        <w:rPr>
          <w:color w:val="auto"/>
          <w:sz w:val="24"/>
          <w:szCs w:val="24"/>
        </w:rPr>
        <w:t>4</w:t>
      </w:r>
      <w:r>
        <w:rPr>
          <w:rFonts w:hint="eastAsia"/>
          <w:color w:val="auto"/>
          <w:sz w:val="24"/>
          <w:szCs w:val="24"/>
        </w:rPr>
        <w:t>、按照操作规程施工；施工过程中对电动工具的使用应符合相应的操作规范；</w:t>
      </w:r>
    </w:p>
    <w:p>
      <w:pPr>
        <w:pStyle w:val="18"/>
        <w:ind w:firstLine="480"/>
        <w:rPr>
          <w:color w:val="auto"/>
          <w:sz w:val="24"/>
          <w:szCs w:val="24"/>
        </w:rPr>
      </w:pPr>
      <w:r>
        <w:rPr>
          <w:rFonts w:hint="eastAsia"/>
          <w:color w:val="auto"/>
          <w:sz w:val="24"/>
          <w:szCs w:val="24"/>
        </w:rPr>
        <w:t>5、质量要求要求按照国家有关规定执行。</w:t>
      </w:r>
    </w:p>
    <w:p>
      <w:pPr>
        <w:pStyle w:val="18"/>
        <w:ind w:firstLine="482"/>
        <w:rPr>
          <w:b/>
          <w:color w:val="auto"/>
          <w:sz w:val="24"/>
          <w:szCs w:val="24"/>
        </w:rPr>
      </w:pPr>
      <w:r>
        <w:rPr>
          <w:rFonts w:hint="eastAsia"/>
          <w:b/>
          <w:color w:val="auto"/>
          <w:sz w:val="24"/>
          <w:szCs w:val="24"/>
        </w:rPr>
        <w:t>（三）抹灰施工部分</w:t>
      </w:r>
    </w:p>
    <w:p>
      <w:pPr>
        <w:pStyle w:val="18"/>
        <w:ind w:firstLine="480"/>
        <w:rPr>
          <w:color w:val="auto"/>
          <w:sz w:val="24"/>
          <w:szCs w:val="24"/>
        </w:rPr>
      </w:pPr>
      <w:r>
        <w:rPr>
          <w:rFonts w:hint="eastAsia"/>
          <w:color w:val="auto"/>
          <w:sz w:val="24"/>
          <w:szCs w:val="24"/>
        </w:rPr>
        <w:t>对图示B面“L”型墙进行水泥石灰混合砂浆抹灰施工（包括一个竖向阴角和阳角），混合砂浆配合比为1:3:9（体积比）。具体要求如下：</w:t>
      </w:r>
    </w:p>
    <w:p>
      <w:pPr>
        <w:pStyle w:val="18"/>
        <w:ind w:firstLine="547" w:firstLineChars="228"/>
        <w:rPr>
          <w:color w:val="auto"/>
          <w:sz w:val="24"/>
          <w:szCs w:val="24"/>
        </w:rPr>
      </w:pPr>
      <w:r>
        <w:rPr>
          <w:rFonts w:hint="eastAsia"/>
          <w:color w:val="auto"/>
          <w:sz w:val="24"/>
          <w:szCs w:val="24"/>
        </w:rPr>
        <w:t>1、必须按照规范规程进行施工；</w:t>
      </w:r>
    </w:p>
    <w:p>
      <w:pPr>
        <w:pStyle w:val="18"/>
        <w:ind w:firstLine="547" w:firstLineChars="228"/>
        <w:rPr>
          <w:color w:val="auto"/>
          <w:sz w:val="24"/>
          <w:szCs w:val="24"/>
        </w:rPr>
      </w:pPr>
      <w:r>
        <w:rPr>
          <w:rFonts w:hint="eastAsia"/>
          <w:color w:val="auto"/>
          <w:sz w:val="24"/>
          <w:szCs w:val="24"/>
        </w:rPr>
        <w:t>2、抹灰施工总厚度要求不低于15mm；</w:t>
      </w:r>
    </w:p>
    <w:p>
      <w:pPr>
        <w:pStyle w:val="18"/>
        <w:ind w:firstLine="547" w:firstLineChars="228"/>
        <w:rPr>
          <w:color w:val="auto"/>
          <w:sz w:val="24"/>
          <w:szCs w:val="24"/>
        </w:rPr>
      </w:pPr>
      <w:r>
        <w:rPr>
          <w:rFonts w:hint="eastAsia"/>
          <w:color w:val="auto"/>
          <w:sz w:val="24"/>
          <w:szCs w:val="24"/>
        </w:rPr>
        <w:t>3、施工区域离地100mm至顶边100mm处，靠近C立面施工到轻钢龙骨隔墙边，包括一个阴角和阳角，注意对轻钢龙骨的成品保护，另一侧抹灰至墙体中线处；</w:t>
      </w:r>
    </w:p>
    <w:p>
      <w:pPr>
        <w:pStyle w:val="18"/>
        <w:ind w:firstLine="547" w:firstLineChars="228"/>
        <w:rPr>
          <w:color w:val="auto"/>
          <w:sz w:val="24"/>
          <w:szCs w:val="24"/>
        </w:rPr>
      </w:pPr>
      <w:r>
        <w:rPr>
          <w:rFonts w:hint="eastAsia"/>
          <w:color w:val="auto"/>
          <w:sz w:val="24"/>
          <w:szCs w:val="24"/>
        </w:rPr>
        <w:t>4、施工中要做灰饼、冲筋，工艺流程完整，成活面要求光面，与其它墙面接触部位要求顺直、平整，无明显毛刺。</w:t>
      </w:r>
    </w:p>
    <w:p>
      <w:pPr>
        <w:pStyle w:val="18"/>
        <w:ind w:firstLine="480"/>
        <w:rPr>
          <w:color w:val="auto"/>
          <w:sz w:val="24"/>
          <w:szCs w:val="24"/>
        </w:rPr>
      </w:pPr>
      <w:r>
        <w:rPr>
          <w:rFonts w:hint="eastAsia"/>
          <w:color w:val="auto"/>
          <w:sz w:val="24"/>
          <w:szCs w:val="24"/>
        </w:rPr>
        <w:t>5、抹灰的灰饼的施工时间必须在开赛后的20分钟内完成，避免造成对他人的影响。</w:t>
      </w:r>
    </w:p>
    <w:p>
      <w:pPr>
        <w:pStyle w:val="18"/>
        <w:ind w:firstLine="482"/>
        <w:rPr>
          <w:b/>
          <w:color w:val="auto"/>
          <w:sz w:val="24"/>
          <w:szCs w:val="24"/>
        </w:rPr>
      </w:pPr>
      <w:r>
        <w:rPr>
          <w:rFonts w:hint="eastAsia"/>
          <w:b/>
          <w:color w:val="auto"/>
          <w:sz w:val="24"/>
          <w:szCs w:val="24"/>
        </w:rPr>
        <w:t>三、竞赛注意事项</w:t>
      </w:r>
    </w:p>
    <w:p>
      <w:pPr>
        <w:pStyle w:val="18"/>
        <w:ind w:firstLine="480"/>
        <w:rPr>
          <w:color w:val="auto"/>
          <w:sz w:val="24"/>
          <w:szCs w:val="24"/>
        </w:rPr>
      </w:pPr>
      <w:r>
        <w:rPr>
          <w:rFonts w:hint="eastAsia"/>
          <w:color w:val="auto"/>
          <w:sz w:val="24"/>
          <w:szCs w:val="24"/>
        </w:rPr>
        <w:t>1、选手确认提前完成、申请离场，在完成墙面瓷砖镶贴、轻钢龙骨石膏板隔墙施工、墙面抹灰、木质柜体等全部任务要求的前提下当值裁判确认提前完成时间量。未全部完成任务而提前离场的不计算时间提前量。</w:t>
      </w:r>
    </w:p>
    <w:p>
      <w:pPr>
        <w:pStyle w:val="18"/>
        <w:ind w:firstLine="480"/>
        <w:rPr>
          <w:color w:val="auto"/>
          <w:sz w:val="24"/>
          <w:szCs w:val="24"/>
        </w:rPr>
      </w:pPr>
      <w:r>
        <w:rPr>
          <w:rFonts w:hint="eastAsia"/>
          <w:color w:val="auto"/>
          <w:sz w:val="24"/>
          <w:szCs w:val="24"/>
        </w:rPr>
        <w:t>2、经当值裁判同意，选手可申请并获得一定量的额外材料，出现额外增加材料现象时，将从结果评定分数中适当扣分。</w:t>
      </w:r>
    </w:p>
    <w:p>
      <w:pPr>
        <w:pStyle w:val="18"/>
        <w:ind w:firstLine="480"/>
        <w:rPr>
          <w:rFonts w:ascii="黑体" w:hAnsi="黑体" w:eastAsia="黑体" w:cs="仿宋_GB2312"/>
          <w:b/>
          <w:bCs/>
          <w:color w:val="auto"/>
          <w:szCs w:val="28"/>
        </w:rPr>
      </w:pPr>
      <w:r>
        <w:rPr>
          <w:rFonts w:hint="eastAsia"/>
          <w:color w:val="auto"/>
          <w:sz w:val="24"/>
          <w:szCs w:val="24"/>
        </w:rPr>
        <w:t>3、工作内容分墙面砖、轻钢龙骨石膏板隔墙、抹灰施工等，作品完成情况在60%以下不评结果分，以零分计；作品完成情况在60%-100%之间由裁判确定完成比例数值；未完成作品的操作成果得分=按评分表评分结果×比例数值。</w:t>
      </w:r>
    </w:p>
    <w:bookmarkEnd w:id="21"/>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IDÑ˛">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75E63A"/>
    <w:multiLevelType w:val="singleLevel"/>
    <w:tmpl w:val="AE75E63A"/>
    <w:lvl w:ilvl="0" w:tentative="0">
      <w:start w:val="1"/>
      <w:numFmt w:val="chineseCounting"/>
      <w:suff w:val="nothing"/>
      <w:lvlText w:val="（%1）"/>
      <w:lvlJc w:val="left"/>
      <w:rPr>
        <w:rFonts w:hint="eastAsia"/>
      </w:rPr>
    </w:lvl>
  </w:abstractNum>
  <w:abstractNum w:abstractNumId="1">
    <w:nsid w:val="DF6407F7"/>
    <w:multiLevelType w:val="singleLevel"/>
    <w:tmpl w:val="DF6407F7"/>
    <w:lvl w:ilvl="0" w:tentative="0">
      <w:start w:val="5"/>
      <w:numFmt w:val="chineseCounting"/>
      <w:suff w:val="nothing"/>
      <w:lvlText w:val="（%1）"/>
      <w:lvlJc w:val="left"/>
      <w:rPr>
        <w:rFonts w:hint="eastAsia"/>
      </w:rPr>
    </w:lvl>
  </w:abstractNum>
  <w:abstractNum w:abstractNumId="2">
    <w:nsid w:val="08B0032D"/>
    <w:multiLevelType w:val="multilevel"/>
    <w:tmpl w:val="08B0032D"/>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37D6524D"/>
    <w:multiLevelType w:val="multilevel"/>
    <w:tmpl w:val="37D6524D"/>
    <w:lvl w:ilvl="0" w:tentative="0">
      <w:start w:val="1"/>
      <w:numFmt w:val="decimalEnclosedCircle"/>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3C751B02"/>
    <w:multiLevelType w:val="multilevel"/>
    <w:tmpl w:val="3C751B02"/>
    <w:lvl w:ilvl="0" w:tentative="0">
      <w:start w:val="1"/>
      <w:numFmt w:val="lowerLetter"/>
      <w:lvlText w:val="%1)"/>
      <w:lvlJc w:val="left"/>
      <w:pPr>
        <w:ind w:left="1410" w:hanging="360"/>
      </w:pPr>
      <w:rPr>
        <w:rFonts w:hint="default"/>
      </w:rPr>
    </w:lvl>
    <w:lvl w:ilvl="1" w:tentative="0">
      <w:start w:val="1"/>
      <w:numFmt w:val="lowerLetter"/>
      <w:lvlText w:val="%2)"/>
      <w:lvlJc w:val="left"/>
      <w:pPr>
        <w:ind w:left="1890" w:hanging="420"/>
      </w:pPr>
    </w:lvl>
    <w:lvl w:ilvl="2" w:tentative="0">
      <w:start w:val="1"/>
      <w:numFmt w:val="lowerRoman"/>
      <w:lvlText w:val="%3."/>
      <w:lvlJc w:val="right"/>
      <w:pPr>
        <w:ind w:left="2310" w:hanging="420"/>
      </w:pPr>
    </w:lvl>
    <w:lvl w:ilvl="3" w:tentative="0">
      <w:start w:val="1"/>
      <w:numFmt w:val="decimal"/>
      <w:lvlText w:val="%4."/>
      <w:lvlJc w:val="left"/>
      <w:pPr>
        <w:ind w:left="2730" w:hanging="420"/>
      </w:pPr>
    </w:lvl>
    <w:lvl w:ilvl="4" w:tentative="0">
      <w:start w:val="1"/>
      <w:numFmt w:val="lowerLetter"/>
      <w:lvlText w:val="%5)"/>
      <w:lvlJc w:val="left"/>
      <w:pPr>
        <w:ind w:left="3150" w:hanging="420"/>
      </w:pPr>
    </w:lvl>
    <w:lvl w:ilvl="5" w:tentative="0">
      <w:start w:val="1"/>
      <w:numFmt w:val="lowerRoman"/>
      <w:lvlText w:val="%6."/>
      <w:lvlJc w:val="right"/>
      <w:pPr>
        <w:ind w:left="3570" w:hanging="420"/>
      </w:pPr>
    </w:lvl>
    <w:lvl w:ilvl="6" w:tentative="0">
      <w:start w:val="1"/>
      <w:numFmt w:val="decimal"/>
      <w:lvlText w:val="%7."/>
      <w:lvlJc w:val="left"/>
      <w:pPr>
        <w:ind w:left="3990" w:hanging="420"/>
      </w:pPr>
    </w:lvl>
    <w:lvl w:ilvl="7" w:tentative="0">
      <w:start w:val="1"/>
      <w:numFmt w:val="lowerLetter"/>
      <w:lvlText w:val="%8)"/>
      <w:lvlJc w:val="left"/>
      <w:pPr>
        <w:ind w:left="4410" w:hanging="420"/>
      </w:pPr>
    </w:lvl>
    <w:lvl w:ilvl="8" w:tentative="0">
      <w:start w:val="1"/>
      <w:numFmt w:val="lowerRoman"/>
      <w:lvlText w:val="%9."/>
      <w:lvlJc w:val="right"/>
      <w:pPr>
        <w:ind w:left="4830" w:hanging="420"/>
      </w:pPr>
    </w:lvl>
  </w:abstractNum>
  <w:abstractNum w:abstractNumId="5">
    <w:nsid w:val="4A3761D3"/>
    <w:multiLevelType w:val="multilevel"/>
    <w:tmpl w:val="4A3761D3"/>
    <w:lvl w:ilvl="0" w:tentative="0">
      <w:start w:val="1"/>
      <w:numFmt w:val="lowerLetter"/>
      <w:lvlText w:val="%1)"/>
      <w:lvlJc w:val="left"/>
      <w:pPr>
        <w:ind w:left="1200" w:hanging="36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6">
    <w:nsid w:val="5F5A3958"/>
    <w:multiLevelType w:val="multilevel"/>
    <w:tmpl w:val="5F5A3958"/>
    <w:lvl w:ilvl="0" w:tentative="0">
      <w:start w:val="1"/>
      <w:numFmt w:val="lowerLetter"/>
      <w:lvlText w:val="%1)"/>
      <w:lvlJc w:val="left"/>
      <w:pPr>
        <w:ind w:left="1200" w:hanging="36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num w:numId="1">
    <w:abstractNumId w:val="0"/>
  </w:num>
  <w:num w:numId="2">
    <w:abstractNumId w:val="1"/>
  </w:num>
  <w:num w:numId="3">
    <w:abstractNumId w:val="3"/>
  </w:num>
  <w:num w:numId="4">
    <w:abstractNumId w:val="4"/>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WQ3NTAyMDQ3M2FlYzNjMjExNWRiNDI1ODk4YTk2NTAifQ=="/>
  </w:docVars>
  <w:rsids>
    <w:rsidRoot w:val="008A5500"/>
    <w:rsid w:val="000073A3"/>
    <w:rsid w:val="000333CA"/>
    <w:rsid w:val="000900F9"/>
    <w:rsid w:val="0018268A"/>
    <w:rsid w:val="002D10D5"/>
    <w:rsid w:val="003805AD"/>
    <w:rsid w:val="003C40B6"/>
    <w:rsid w:val="003E76D2"/>
    <w:rsid w:val="00403DD1"/>
    <w:rsid w:val="00423543"/>
    <w:rsid w:val="00432C60"/>
    <w:rsid w:val="00463ED2"/>
    <w:rsid w:val="004A3150"/>
    <w:rsid w:val="005F2195"/>
    <w:rsid w:val="00634001"/>
    <w:rsid w:val="007071BE"/>
    <w:rsid w:val="00740BEF"/>
    <w:rsid w:val="00750F68"/>
    <w:rsid w:val="0077467F"/>
    <w:rsid w:val="007C0ECE"/>
    <w:rsid w:val="008706A8"/>
    <w:rsid w:val="008A5500"/>
    <w:rsid w:val="008C1766"/>
    <w:rsid w:val="00972C0B"/>
    <w:rsid w:val="00AD44EE"/>
    <w:rsid w:val="00AD7A6E"/>
    <w:rsid w:val="00C475D5"/>
    <w:rsid w:val="00C869D3"/>
    <w:rsid w:val="00CC0F74"/>
    <w:rsid w:val="00D0085C"/>
    <w:rsid w:val="00E11C54"/>
    <w:rsid w:val="00EC2D03"/>
    <w:rsid w:val="00ED0BFA"/>
    <w:rsid w:val="00EF37DF"/>
    <w:rsid w:val="00FE2255"/>
    <w:rsid w:val="00FF29FC"/>
    <w:rsid w:val="03371C84"/>
    <w:rsid w:val="03B10EED"/>
    <w:rsid w:val="04011D9C"/>
    <w:rsid w:val="05074D8C"/>
    <w:rsid w:val="05A03C14"/>
    <w:rsid w:val="066F06B5"/>
    <w:rsid w:val="0C2461DD"/>
    <w:rsid w:val="0CAC086B"/>
    <w:rsid w:val="0F1A3170"/>
    <w:rsid w:val="10700789"/>
    <w:rsid w:val="12F23441"/>
    <w:rsid w:val="143C61A2"/>
    <w:rsid w:val="14446A5C"/>
    <w:rsid w:val="14ED502A"/>
    <w:rsid w:val="15A94D8E"/>
    <w:rsid w:val="16B63190"/>
    <w:rsid w:val="171A0831"/>
    <w:rsid w:val="17C3523B"/>
    <w:rsid w:val="1823658C"/>
    <w:rsid w:val="1952025E"/>
    <w:rsid w:val="1AC72098"/>
    <w:rsid w:val="1C7A435B"/>
    <w:rsid w:val="1D3C54CD"/>
    <w:rsid w:val="1DD511E1"/>
    <w:rsid w:val="1E546BED"/>
    <w:rsid w:val="204E14C6"/>
    <w:rsid w:val="20766694"/>
    <w:rsid w:val="2161433B"/>
    <w:rsid w:val="234E7E11"/>
    <w:rsid w:val="23921FE3"/>
    <w:rsid w:val="270819A1"/>
    <w:rsid w:val="287F7488"/>
    <w:rsid w:val="2B606AAE"/>
    <w:rsid w:val="2B8C5609"/>
    <w:rsid w:val="2BC41405"/>
    <w:rsid w:val="2CB657F7"/>
    <w:rsid w:val="2CD3500A"/>
    <w:rsid w:val="2CE02DE0"/>
    <w:rsid w:val="2DA57465"/>
    <w:rsid w:val="2E5A3DAC"/>
    <w:rsid w:val="33CA0131"/>
    <w:rsid w:val="34304D3E"/>
    <w:rsid w:val="358D470A"/>
    <w:rsid w:val="35A6530A"/>
    <w:rsid w:val="35DF515F"/>
    <w:rsid w:val="379121D2"/>
    <w:rsid w:val="37D35AF6"/>
    <w:rsid w:val="38C805E8"/>
    <w:rsid w:val="3AC04666"/>
    <w:rsid w:val="3CE8019E"/>
    <w:rsid w:val="3E6D7B2B"/>
    <w:rsid w:val="3F42543F"/>
    <w:rsid w:val="3F5B36DA"/>
    <w:rsid w:val="3F890759"/>
    <w:rsid w:val="41046C1C"/>
    <w:rsid w:val="410B0EFD"/>
    <w:rsid w:val="41660265"/>
    <w:rsid w:val="43E061D8"/>
    <w:rsid w:val="44346B9A"/>
    <w:rsid w:val="44397AB2"/>
    <w:rsid w:val="44BD0F93"/>
    <w:rsid w:val="482538DC"/>
    <w:rsid w:val="48896EB0"/>
    <w:rsid w:val="4A4D6BA3"/>
    <w:rsid w:val="4BEB527E"/>
    <w:rsid w:val="4CC732E6"/>
    <w:rsid w:val="4CF6409A"/>
    <w:rsid w:val="5115181E"/>
    <w:rsid w:val="51ED0D12"/>
    <w:rsid w:val="525F427E"/>
    <w:rsid w:val="54B46E49"/>
    <w:rsid w:val="57CF0FEF"/>
    <w:rsid w:val="58093C8D"/>
    <w:rsid w:val="5996188C"/>
    <w:rsid w:val="5C2F0319"/>
    <w:rsid w:val="5CD847A8"/>
    <w:rsid w:val="5E2D6A24"/>
    <w:rsid w:val="5F1E523D"/>
    <w:rsid w:val="61471C93"/>
    <w:rsid w:val="62323365"/>
    <w:rsid w:val="62CE491B"/>
    <w:rsid w:val="63352876"/>
    <w:rsid w:val="63A03792"/>
    <w:rsid w:val="63D968AE"/>
    <w:rsid w:val="66041F08"/>
    <w:rsid w:val="67EE073B"/>
    <w:rsid w:val="68416511"/>
    <w:rsid w:val="68CF45AF"/>
    <w:rsid w:val="69714343"/>
    <w:rsid w:val="69C2222A"/>
    <w:rsid w:val="69F9033E"/>
    <w:rsid w:val="6BCF7CDC"/>
    <w:rsid w:val="6E334B4C"/>
    <w:rsid w:val="708B1691"/>
    <w:rsid w:val="70E679B8"/>
    <w:rsid w:val="725430B2"/>
    <w:rsid w:val="755D7DF6"/>
    <w:rsid w:val="77AF428F"/>
    <w:rsid w:val="7A4100E7"/>
    <w:rsid w:val="7D117B9D"/>
    <w:rsid w:val="7DCD1E2B"/>
    <w:rsid w:val="7EA25DF1"/>
    <w:rsid w:val="7EC74BE0"/>
    <w:rsid w:val="7FFF726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仿宋" w:cstheme="minorBidi"/>
      <w:kern w:val="2"/>
      <w:sz w:val="24"/>
      <w:szCs w:val="22"/>
      <w:lang w:val="en-US" w:eastAsia="zh-CN" w:bidi="ar-SA"/>
    </w:rPr>
  </w:style>
  <w:style w:type="paragraph" w:styleId="2">
    <w:name w:val="heading 1"/>
    <w:basedOn w:val="1"/>
    <w:next w:val="1"/>
    <w:qFormat/>
    <w:uiPriority w:val="1"/>
    <w:pPr>
      <w:ind w:left="880"/>
      <w:outlineLvl w:val="0"/>
    </w:pPr>
    <w:rPr>
      <w:b/>
      <w:bCs/>
      <w:sz w:val="30"/>
      <w:szCs w:val="30"/>
    </w:rPr>
  </w:style>
  <w:style w:type="paragraph" w:styleId="3">
    <w:name w:val="heading 2"/>
    <w:basedOn w:val="1"/>
    <w:next w:val="1"/>
    <w:unhideWhenUsed/>
    <w:qFormat/>
    <w:uiPriority w:val="9"/>
    <w:pPr>
      <w:keepNext/>
      <w:keepLines/>
      <w:spacing w:line="240" w:lineRule="auto"/>
      <w:outlineLvl w:val="1"/>
    </w:pPr>
    <w:rPr>
      <w:rFonts w:eastAsia="仿宋_GB2312" w:cstheme="majorBidi"/>
      <w:b/>
      <w:bCs/>
      <w:sz w:val="28"/>
      <w:szCs w:val="32"/>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9"/>
    <w:qFormat/>
    <w:uiPriority w:val="0"/>
    <w:pPr>
      <w:spacing w:line="240" w:lineRule="auto"/>
    </w:pPr>
    <w:rPr>
      <w:sz w:val="18"/>
      <w:szCs w:val="18"/>
    </w:rPr>
  </w:style>
  <w:style w:type="paragraph" w:styleId="6">
    <w:name w:val="footer"/>
    <w:basedOn w:val="1"/>
    <w:unhideWhenUsed/>
    <w:qFormat/>
    <w:uiPriority w:val="99"/>
    <w:pPr>
      <w:tabs>
        <w:tab w:val="center" w:pos="4153"/>
        <w:tab w:val="right" w:pos="8306"/>
      </w:tabs>
      <w:snapToGrid w:val="0"/>
      <w:spacing w:line="240" w:lineRule="auto"/>
      <w:ind w:firstLine="0" w:firstLineChars="0"/>
      <w:jc w:val="left"/>
    </w:pPr>
    <w:rPr>
      <w:rFonts w:asciiTheme="minorHAnsi" w:hAnsiTheme="minorHAnsi" w:eastAsiaTheme="minorEastAsia"/>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spacing w:line="240" w:lineRule="auto"/>
      <w:ind w:firstLine="0" w:firstLineChars="0"/>
      <w:jc w:val="center"/>
    </w:pPr>
    <w:rPr>
      <w:rFonts w:asciiTheme="minorHAnsi" w:hAnsiTheme="minorHAnsi" w:eastAsiaTheme="minorEastAsia"/>
      <w:sz w:val="18"/>
      <w:szCs w:val="18"/>
    </w:rPr>
  </w:style>
  <w:style w:type="paragraph" w:styleId="8">
    <w:name w:val="Normal (Web)"/>
    <w:basedOn w:val="1"/>
    <w:qFormat/>
    <w:uiPriority w:val="0"/>
    <w:pPr>
      <w:spacing w:beforeAutospacing="1" w:afterAutospacing="1"/>
      <w:jc w:val="left"/>
    </w:pPr>
    <w:rPr>
      <w:rFonts w:cs="Times New Roman"/>
      <w:kern w:val="0"/>
    </w:rPr>
  </w:style>
  <w:style w:type="table" w:styleId="10">
    <w:name w:val="Table Grid"/>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basedOn w:val="11"/>
    <w:qFormat/>
    <w:uiPriority w:val="0"/>
    <w:rPr>
      <w:color w:val="0000FF"/>
      <w:u w:val="single"/>
    </w:rPr>
  </w:style>
  <w:style w:type="paragraph" w:customStyle="1" w:styleId="13">
    <w:name w:val="Body text|1"/>
    <w:basedOn w:val="1"/>
    <w:qFormat/>
    <w:uiPriority w:val="0"/>
    <w:pPr>
      <w:spacing w:line="391" w:lineRule="auto"/>
      <w:ind w:firstLine="400"/>
    </w:pPr>
    <w:rPr>
      <w:rFonts w:ascii="宋体" w:hAnsi="宋体" w:eastAsia="宋体" w:cs="宋体"/>
      <w:sz w:val="30"/>
      <w:szCs w:val="30"/>
      <w:lang w:val="zh-TW" w:eastAsia="zh-TW" w:bidi="zh-TW"/>
    </w:rPr>
  </w:style>
  <w:style w:type="paragraph" w:styleId="14">
    <w:name w:val="List Paragraph"/>
    <w:basedOn w:val="1"/>
    <w:qFormat/>
    <w:uiPriority w:val="34"/>
    <w:pPr>
      <w:spacing w:line="240" w:lineRule="auto"/>
      <w:ind w:firstLine="420"/>
    </w:pPr>
    <w:rPr>
      <w:rFonts w:asciiTheme="minorHAnsi" w:hAnsiTheme="minorHAnsi" w:eastAsiaTheme="minorEastAsia"/>
      <w:sz w:val="21"/>
    </w:rPr>
  </w:style>
  <w:style w:type="table" w:customStyle="1" w:styleId="15">
    <w:name w:val="Table Normal"/>
    <w:semiHidden/>
    <w:unhideWhenUsed/>
    <w:qFormat/>
    <w:uiPriority w:val="2"/>
    <w:tblPr>
      <w:tblCellMar>
        <w:top w:w="0" w:type="dxa"/>
        <w:left w:w="0" w:type="dxa"/>
        <w:bottom w:w="0" w:type="dxa"/>
        <w:right w:w="0" w:type="dxa"/>
      </w:tblCellMar>
    </w:tblPr>
  </w:style>
  <w:style w:type="paragraph" w:customStyle="1" w:styleId="16">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table" w:customStyle="1" w:styleId="17">
    <w:name w:val="网格型1"/>
    <w:basedOn w:val="9"/>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8">
    <w:name w:val="仿宋正文"/>
    <w:basedOn w:val="1"/>
    <w:qFormat/>
    <w:uiPriority w:val="0"/>
    <w:rPr>
      <w:rFonts w:ascii="仿宋" w:hAnsi="仿宋"/>
      <w:sz w:val="28"/>
    </w:rPr>
  </w:style>
  <w:style w:type="character" w:customStyle="1" w:styleId="19">
    <w:name w:val="批注框文本 Char"/>
    <w:basedOn w:val="11"/>
    <w:link w:val="5"/>
    <w:qFormat/>
    <w:uiPriority w:val="0"/>
    <w:rPr>
      <w:rFonts w:eastAsia="仿宋"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jpe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WILDE</Company>
  <Pages>44</Pages>
  <Words>23635</Words>
  <Characters>25634</Characters>
  <Lines>201</Lines>
  <Paragraphs>56</Paragraphs>
  <TotalTime>8</TotalTime>
  <ScaleCrop>false</ScaleCrop>
  <LinksUpToDate>false</LinksUpToDate>
  <CharactersWithSpaces>25746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2022-09-16T00:59:00Z</dcterms:created>
  <dc:creator>Administrator</dc:creator>
  <cp:lastModifiedBy>leo</cp:lastModifiedBy>
  <dcterms:modified xsi:type="dcterms:W3CDTF">2022-10-11T08:14:05Z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E5AEC0037A5648B8B3576AB195CDEC72</vt:lpwstr>
  </property>
</Properties>
</file>